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1A4BAC" w14:textId="1F1EA3D2" w:rsidR="00290BBB" w:rsidRDefault="00290BBB">
      <w:r>
        <w:rPr>
          <w:noProof/>
        </w:rPr>
        <w:drawing>
          <wp:anchor distT="0" distB="0" distL="114300" distR="114300" simplePos="0" relativeHeight="251658240" behindDoc="1" locked="0" layoutInCell="1" allowOverlap="1" wp14:anchorId="382A3690" wp14:editId="6B2A8DFE">
            <wp:simplePos x="0" y="0"/>
            <wp:positionH relativeFrom="column">
              <wp:posOffset>-900542</wp:posOffset>
            </wp:positionH>
            <wp:positionV relativeFrom="paragraph">
              <wp:posOffset>-894715</wp:posOffset>
            </wp:positionV>
            <wp:extent cx="7557247" cy="10693680"/>
            <wp:effectExtent l="0" t="0" r="0" b="0"/>
            <wp:wrapNone/>
            <wp:docPr id="13221048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104873" name="Picture 13221048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7247" cy="10693680"/>
                    </a:xfrm>
                    <a:prstGeom prst="rect">
                      <a:avLst/>
                    </a:prstGeom>
                  </pic:spPr>
                </pic:pic>
              </a:graphicData>
            </a:graphic>
            <wp14:sizeRelH relativeFrom="page">
              <wp14:pctWidth>0</wp14:pctWidth>
            </wp14:sizeRelH>
            <wp14:sizeRelV relativeFrom="page">
              <wp14:pctHeight>0</wp14:pctHeight>
            </wp14:sizeRelV>
          </wp:anchor>
        </w:drawing>
      </w:r>
    </w:p>
    <w:p w14:paraId="63FEA121" w14:textId="77777777" w:rsidR="00290BBB" w:rsidRDefault="00290BBB"/>
    <w:p w14:paraId="2806CB06" w14:textId="77777777" w:rsidR="00290BBB" w:rsidRDefault="00290BBB"/>
    <w:p w14:paraId="5DCC8AFD" w14:textId="77777777" w:rsidR="00290BBB" w:rsidRDefault="00290BBB"/>
    <w:p w14:paraId="67600543" w14:textId="21565E2D" w:rsidR="00290BBB" w:rsidRPr="00290BBB" w:rsidRDefault="00290BBB" w:rsidP="00290BBB">
      <w:pPr>
        <w:pStyle w:val="Title"/>
        <w:spacing w:after="0"/>
        <w:rPr>
          <w:rFonts w:ascii="Calibri" w:hAnsi="Calibri" w:cs="Calibri"/>
          <w:b/>
          <w:bCs/>
          <w:color w:val="FFFFFF" w:themeColor="background1"/>
          <w:sz w:val="96"/>
          <w:szCs w:val="96"/>
          <w:lang w:val="en-US"/>
        </w:rPr>
      </w:pPr>
      <w:r w:rsidRPr="00290BBB">
        <w:rPr>
          <w:rFonts w:ascii="Calibri" w:hAnsi="Calibri" w:cs="Calibri"/>
          <w:b/>
          <w:bCs/>
          <w:color w:val="FFFFFF" w:themeColor="background1"/>
          <w:sz w:val="96"/>
          <w:szCs w:val="96"/>
          <w:lang w:val="en-US"/>
        </w:rPr>
        <w:t>Quick reference guidance</w:t>
      </w:r>
    </w:p>
    <w:p w14:paraId="01470EE5" w14:textId="77777777" w:rsidR="00290BBB" w:rsidRPr="00290BBB" w:rsidRDefault="00290BBB" w:rsidP="00290BBB">
      <w:pPr>
        <w:rPr>
          <w:lang w:val="en-US"/>
        </w:rPr>
      </w:pPr>
    </w:p>
    <w:p w14:paraId="42A9AB65" w14:textId="77777777" w:rsidR="00290BBB" w:rsidRDefault="00290BBB" w:rsidP="00290BBB">
      <w:pPr>
        <w:pStyle w:val="Subtitle"/>
        <w:rPr>
          <w:rFonts w:ascii="Calibri" w:hAnsi="Calibri" w:cs="Calibri"/>
          <w:color w:val="FFFFFF" w:themeColor="background1"/>
          <w:lang w:val="en-US"/>
        </w:rPr>
      </w:pPr>
      <w:r w:rsidRPr="00290BBB">
        <w:rPr>
          <w:rFonts w:ascii="Calibri" w:hAnsi="Calibri" w:cs="Calibri"/>
          <w:color w:val="FFFFFF" w:themeColor="background1"/>
          <w:lang w:val="en-US"/>
        </w:rPr>
        <w:t xml:space="preserve">Using the national practitioner-level competencies framework </w:t>
      </w:r>
    </w:p>
    <w:p w14:paraId="69B6C4D6" w14:textId="7F1423AD" w:rsidR="00290BBB" w:rsidRPr="00290BBB" w:rsidRDefault="00290BBB" w:rsidP="00290BBB">
      <w:pPr>
        <w:pStyle w:val="Subtitle"/>
        <w:rPr>
          <w:rFonts w:ascii="Calibri" w:hAnsi="Calibri" w:cs="Calibri"/>
          <w:color w:val="FFFFFF" w:themeColor="background1"/>
          <w:lang w:val="en-US"/>
        </w:rPr>
      </w:pPr>
      <w:r w:rsidRPr="00290BBB">
        <w:rPr>
          <w:rFonts w:ascii="Calibri" w:hAnsi="Calibri" w:cs="Calibri"/>
          <w:color w:val="FFFFFF" w:themeColor="background1"/>
          <w:lang w:val="en-US"/>
        </w:rPr>
        <w:t xml:space="preserve">for radiographers working in CT practice in the UK </w:t>
      </w:r>
    </w:p>
    <w:p w14:paraId="23AA3C5B" w14:textId="77777777" w:rsidR="00290BBB" w:rsidRPr="00290BBB" w:rsidRDefault="00290BBB" w:rsidP="00290BBB">
      <w:pPr>
        <w:rPr>
          <w:rFonts w:ascii="Calibri" w:hAnsi="Calibri" w:cs="Calibri"/>
          <w:color w:val="FFFFFF" w:themeColor="background1"/>
          <w:lang w:val="en-US"/>
        </w:rPr>
      </w:pPr>
    </w:p>
    <w:p w14:paraId="5478712B" w14:textId="77777777" w:rsidR="00290BBB" w:rsidRDefault="00290BBB" w:rsidP="00290BBB">
      <w:pPr>
        <w:rPr>
          <w:rFonts w:ascii="Calibri" w:hAnsi="Calibri" w:cs="Calibri"/>
          <w:color w:val="FFFFFF" w:themeColor="background1"/>
          <w:lang w:val="en-US"/>
        </w:rPr>
      </w:pPr>
    </w:p>
    <w:p w14:paraId="53F9C526" w14:textId="77777777" w:rsidR="00290BBB" w:rsidRDefault="00290BBB" w:rsidP="00290BBB">
      <w:pPr>
        <w:rPr>
          <w:rFonts w:ascii="Calibri" w:hAnsi="Calibri" w:cs="Calibri"/>
          <w:color w:val="FFFFFF" w:themeColor="background1"/>
          <w:lang w:val="en-US"/>
        </w:rPr>
      </w:pPr>
    </w:p>
    <w:p w14:paraId="047D9BAF" w14:textId="77777777" w:rsidR="00290BBB" w:rsidRDefault="00290BBB" w:rsidP="00290BBB">
      <w:pPr>
        <w:rPr>
          <w:rFonts w:ascii="Calibri" w:hAnsi="Calibri" w:cs="Calibri"/>
          <w:color w:val="FFFFFF" w:themeColor="background1"/>
          <w:lang w:val="en-US"/>
        </w:rPr>
      </w:pPr>
    </w:p>
    <w:p w14:paraId="6B945967" w14:textId="77777777" w:rsidR="00290BBB" w:rsidRDefault="00290BBB" w:rsidP="00290BBB">
      <w:pPr>
        <w:rPr>
          <w:rFonts w:ascii="Calibri" w:hAnsi="Calibri" w:cs="Calibri"/>
          <w:color w:val="FFFFFF" w:themeColor="background1"/>
          <w:lang w:val="en-US"/>
        </w:rPr>
      </w:pPr>
    </w:p>
    <w:p w14:paraId="111939D3" w14:textId="77777777" w:rsidR="00290BBB" w:rsidRDefault="00290BBB" w:rsidP="00290BBB">
      <w:pPr>
        <w:rPr>
          <w:rFonts w:ascii="Calibri" w:hAnsi="Calibri" w:cs="Calibri"/>
          <w:color w:val="FFFFFF" w:themeColor="background1"/>
          <w:lang w:val="en-US"/>
        </w:rPr>
      </w:pPr>
    </w:p>
    <w:p w14:paraId="23035A19" w14:textId="77777777" w:rsidR="00290BBB" w:rsidRDefault="00290BBB" w:rsidP="00290BBB">
      <w:pPr>
        <w:rPr>
          <w:rFonts w:ascii="Calibri" w:hAnsi="Calibri" w:cs="Calibri"/>
          <w:color w:val="FFFFFF" w:themeColor="background1"/>
          <w:lang w:val="en-US"/>
        </w:rPr>
      </w:pPr>
    </w:p>
    <w:p w14:paraId="0353F77D" w14:textId="77777777" w:rsidR="00290BBB" w:rsidRDefault="00290BBB" w:rsidP="00290BBB">
      <w:pPr>
        <w:rPr>
          <w:rFonts w:ascii="Calibri" w:hAnsi="Calibri" w:cs="Calibri"/>
          <w:color w:val="FFFFFF" w:themeColor="background1"/>
          <w:lang w:val="en-US"/>
        </w:rPr>
      </w:pPr>
    </w:p>
    <w:p w14:paraId="036C58B0" w14:textId="77777777" w:rsidR="00290BBB" w:rsidRDefault="00290BBB" w:rsidP="00290BBB">
      <w:pPr>
        <w:rPr>
          <w:rFonts w:ascii="Calibri" w:hAnsi="Calibri" w:cs="Calibri"/>
          <w:color w:val="FFFFFF" w:themeColor="background1"/>
          <w:lang w:val="en-US"/>
        </w:rPr>
      </w:pPr>
    </w:p>
    <w:p w14:paraId="178ED130" w14:textId="77777777" w:rsidR="00290BBB" w:rsidRDefault="00290BBB" w:rsidP="00290BBB">
      <w:pPr>
        <w:rPr>
          <w:rFonts w:ascii="Calibri" w:hAnsi="Calibri" w:cs="Calibri"/>
          <w:color w:val="FFFFFF" w:themeColor="background1"/>
          <w:lang w:val="en-US"/>
        </w:rPr>
      </w:pPr>
    </w:p>
    <w:p w14:paraId="432C95A1" w14:textId="77777777" w:rsidR="00290BBB" w:rsidRDefault="00290BBB" w:rsidP="00290BBB">
      <w:pPr>
        <w:rPr>
          <w:rFonts w:ascii="Calibri" w:hAnsi="Calibri" w:cs="Calibri"/>
          <w:color w:val="FFFFFF" w:themeColor="background1"/>
          <w:lang w:val="en-US"/>
        </w:rPr>
      </w:pPr>
    </w:p>
    <w:p w14:paraId="473EBBD8" w14:textId="77777777" w:rsidR="00290BBB" w:rsidRDefault="00290BBB" w:rsidP="00290BBB">
      <w:pPr>
        <w:rPr>
          <w:rFonts w:ascii="Calibri" w:hAnsi="Calibri" w:cs="Calibri"/>
          <w:color w:val="FFFFFF" w:themeColor="background1"/>
          <w:lang w:val="en-US"/>
        </w:rPr>
      </w:pPr>
    </w:p>
    <w:p w14:paraId="75511CF0" w14:textId="77777777" w:rsidR="00290BBB" w:rsidRDefault="00290BBB" w:rsidP="00290BBB">
      <w:pPr>
        <w:rPr>
          <w:rFonts w:ascii="Calibri" w:hAnsi="Calibri" w:cs="Calibri"/>
          <w:color w:val="FFFFFF" w:themeColor="background1"/>
          <w:lang w:val="en-US"/>
        </w:rPr>
      </w:pPr>
    </w:p>
    <w:p w14:paraId="228E8937" w14:textId="77777777" w:rsidR="00290BBB" w:rsidRDefault="00290BBB" w:rsidP="00290BBB">
      <w:pPr>
        <w:rPr>
          <w:rFonts w:ascii="Calibri" w:hAnsi="Calibri" w:cs="Calibri"/>
          <w:color w:val="FFFFFF" w:themeColor="background1"/>
          <w:lang w:val="en-US"/>
        </w:rPr>
      </w:pPr>
    </w:p>
    <w:p w14:paraId="583E5864" w14:textId="60A9FAF9" w:rsidR="00290BBB" w:rsidRPr="00290BBB" w:rsidRDefault="00290BBB" w:rsidP="00290BBB">
      <w:pPr>
        <w:rPr>
          <w:rFonts w:ascii="Calibri" w:hAnsi="Calibri" w:cs="Calibri"/>
          <w:color w:val="FFFFFF" w:themeColor="background1"/>
          <w:lang w:val="en-US"/>
        </w:rPr>
      </w:pPr>
      <w:r>
        <w:rPr>
          <w:rFonts w:ascii="Calibri" w:hAnsi="Calibri" w:cs="Calibri"/>
          <w:color w:val="FFFFFF" w:themeColor="background1"/>
          <w:lang w:val="en-US"/>
        </w:rPr>
        <w:t>October 2026</w:t>
      </w:r>
    </w:p>
    <w:p w14:paraId="52822FE0" w14:textId="77777777" w:rsidR="00290BBB" w:rsidRPr="00290BBB" w:rsidRDefault="00290BBB" w:rsidP="00290BBB">
      <w:pPr>
        <w:rPr>
          <w:rFonts w:ascii="Calibri" w:hAnsi="Calibri" w:cs="Calibri"/>
          <w:color w:val="FFFFFF" w:themeColor="background1"/>
          <w:lang w:val="en-US"/>
        </w:rPr>
      </w:pPr>
      <w:r w:rsidRPr="00290BBB">
        <w:rPr>
          <w:rFonts w:ascii="Calibri" w:hAnsi="Calibri" w:cs="Calibri"/>
          <w:color w:val="FFFFFF" w:themeColor="background1"/>
          <w:lang w:val="en-US"/>
        </w:rPr>
        <w:t>ISBN 978-1-911738-41-1</w:t>
      </w:r>
    </w:p>
    <w:p w14:paraId="5B6701D0" w14:textId="77777777" w:rsidR="00290BBB" w:rsidRPr="00290BBB" w:rsidRDefault="00290BBB">
      <w:pPr>
        <w:rPr>
          <w:rFonts w:ascii="Calibri" w:hAnsi="Calibri" w:cs="Calibri"/>
          <w:color w:val="FFFFFF" w:themeColor="background1"/>
        </w:rPr>
      </w:pPr>
    </w:p>
    <w:p w14:paraId="464238F1" w14:textId="77777777" w:rsidR="00290BBB" w:rsidRDefault="00290BBB"/>
    <w:p w14:paraId="157E05A9" w14:textId="77777777" w:rsidR="00290BBB" w:rsidRDefault="00290BBB"/>
    <w:p w14:paraId="1CEC7BF4" w14:textId="77777777" w:rsidR="00290BBB" w:rsidRDefault="00290BBB"/>
    <w:p w14:paraId="5FFD3B60" w14:textId="77777777" w:rsidR="00290BBB" w:rsidRDefault="00290BBB"/>
    <w:p w14:paraId="599EB763" w14:textId="77777777" w:rsidR="00290BBB" w:rsidRDefault="00290BBB"/>
    <w:p w14:paraId="0CDAA21B" w14:textId="77777777" w:rsidR="00290BBB" w:rsidRDefault="00290BBB"/>
    <w:p w14:paraId="38861FAE" w14:textId="77777777" w:rsidR="00290BBB" w:rsidRDefault="00290BBB"/>
    <w:p w14:paraId="287AB29F" w14:textId="77777777" w:rsidR="00290BBB" w:rsidRDefault="00290BBB"/>
    <w:p w14:paraId="11A5C5FF" w14:textId="77777777" w:rsidR="00290BBB" w:rsidRDefault="00290BBB"/>
    <w:p w14:paraId="4415B702" w14:textId="77777777" w:rsidR="00290BBB" w:rsidRDefault="00290BBB"/>
    <w:p w14:paraId="69A39E9D" w14:textId="77777777" w:rsidR="00290BBB" w:rsidRDefault="00290BBB"/>
    <w:p w14:paraId="7D2CAC42" w14:textId="77777777" w:rsidR="00290BBB" w:rsidRDefault="00290BBB"/>
    <w:p w14:paraId="6F5FB57A" w14:textId="77777777" w:rsidR="00290BBB" w:rsidRDefault="00290BBB"/>
    <w:p w14:paraId="3B903DEB" w14:textId="77777777" w:rsidR="00290BBB" w:rsidRDefault="00290BBB"/>
    <w:p w14:paraId="624B9BEF" w14:textId="77777777" w:rsidR="00290BBB" w:rsidRDefault="00290BBB"/>
    <w:p w14:paraId="5BE0FDA4" w14:textId="77777777" w:rsidR="00290BBB" w:rsidRPr="00290BBB" w:rsidRDefault="00290BBB">
      <w:pPr>
        <w:rPr>
          <w:rFonts w:ascii="Calibri" w:hAnsi="Calibri" w:cs="Calibri"/>
          <w:color w:val="1560A0"/>
        </w:rPr>
      </w:pPr>
    </w:p>
    <w:p w14:paraId="07DA3278" w14:textId="77777777" w:rsidR="00290BBB" w:rsidRPr="00290BBB" w:rsidRDefault="00290BBB">
      <w:pPr>
        <w:rPr>
          <w:rFonts w:ascii="Calibri" w:hAnsi="Calibri" w:cs="Calibri"/>
          <w:b/>
          <w:bCs/>
          <w:color w:val="1560A0"/>
          <w:sz w:val="32"/>
          <w:szCs w:val="32"/>
        </w:rPr>
      </w:pPr>
    </w:p>
    <w:p w14:paraId="3D140E5E" w14:textId="77777777" w:rsidR="00290BBB" w:rsidRPr="00290BBB" w:rsidRDefault="00290BBB">
      <w:pPr>
        <w:rPr>
          <w:rFonts w:ascii="Calibri" w:hAnsi="Calibri" w:cs="Calibri"/>
          <w:b/>
          <w:bCs/>
          <w:color w:val="1560A0"/>
          <w:sz w:val="32"/>
          <w:szCs w:val="32"/>
          <w:lang w:val="en-US"/>
        </w:rPr>
      </w:pPr>
      <w:r w:rsidRPr="00290BBB">
        <w:rPr>
          <w:rFonts w:ascii="Calibri" w:hAnsi="Calibri" w:cs="Calibri"/>
          <w:b/>
          <w:bCs/>
          <w:color w:val="1560A0"/>
          <w:sz w:val="32"/>
          <w:szCs w:val="32"/>
          <w:lang w:val="en-US"/>
        </w:rPr>
        <w:t xml:space="preserve">Disclaimer  </w:t>
      </w:r>
    </w:p>
    <w:p w14:paraId="336CF936" w14:textId="77777777" w:rsidR="00290BBB" w:rsidRPr="00290BBB" w:rsidRDefault="00290BBB">
      <w:pPr>
        <w:rPr>
          <w:rFonts w:ascii="Calibri" w:hAnsi="Calibri" w:cs="Calibri"/>
          <w:color w:val="1560A0"/>
          <w:lang w:val="en-US"/>
        </w:rPr>
      </w:pPr>
    </w:p>
    <w:p w14:paraId="2932CB23" w14:textId="5C39A6C6" w:rsidR="00290BBB" w:rsidRPr="00290BBB" w:rsidRDefault="00290BBB">
      <w:pPr>
        <w:rPr>
          <w:rFonts w:ascii="Calibri" w:hAnsi="Calibri" w:cs="Calibri"/>
          <w:color w:val="1560A0"/>
          <w:lang w:val="en-US"/>
        </w:rPr>
      </w:pPr>
      <w:r w:rsidRPr="00290BBB">
        <w:rPr>
          <w:rFonts w:ascii="Calibri" w:hAnsi="Calibri" w:cs="Calibri"/>
          <w:color w:val="1560A0"/>
          <w:lang w:val="en-US"/>
        </w:rPr>
        <w:t>The Society of Radiographers (</w:t>
      </w:r>
      <w:proofErr w:type="spellStart"/>
      <w:r w:rsidR="0018753F">
        <w:rPr>
          <w:rFonts w:ascii="Calibri" w:hAnsi="Calibri" w:cs="Calibri"/>
          <w:color w:val="1560A0"/>
          <w:lang w:val="en-US"/>
        </w:rPr>
        <w:fldChar w:fldCharType="begin"/>
      </w:r>
      <w:r w:rsidR="0018753F">
        <w:rPr>
          <w:rFonts w:ascii="Calibri" w:hAnsi="Calibri" w:cs="Calibri"/>
          <w:color w:val="1560A0"/>
          <w:lang w:val="en-US"/>
        </w:rPr>
        <w:instrText>HYPERLINK "https://www.sor.org/"</w:instrText>
      </w:r>
      <w:r w:rsidR="0018753F">
        <w:rPr>
          <w:rFonts w:ascii="Calibri" w:hAnsi="Calibri" w:cs="Calibri"/>
          <w:color w:val="1560A0"/>
          <w:lang w:val="en-US"/>
        </w:rPr>
      </w:r>
      <w:r w:rsidR="0018753F">
        <w:rPr>
          <w:rFonts w:ascii="Calibri" w:hAnsi="Calibri" w:cs="Calibri"/>
          <w:color w:val="1560A0"/>
          <w:lang w:val="en-US"/>
        </w:rPr>
        <w:fldChar w:fldCharType="separate"/>
      </w:r>
      <w:r w:rsidRPr="0018753F">
        <w:rPr>
          <w:rStyle w:val="Hyperlink"/>
          <w:rFonts w:ascii="Calibri" w:hAnsi="Calibri" w:cs="Calibri"/>
          <w:lang w:val="en-US"/>
        </w:rPr>
        <w:t>SoR</w:t>
      </w:r>
      <w:proofErr w:type="spellEnd"/>
      <w:r w:rsidR="0018753F">
        <w:rPr>
          <w:rFonts w:ascii="Calibri" w:hAnsi="Calibri" w:cs="Calibri"/>
          <w:color w:val="1560A0"/>
          <w:lang w:val="en-US"/>
        </w:rPr>
        <w:fldChar w:fldCharType="end"/>
      </w:r>
      <w:r w:rsidRPr="00290BBB">
        <w:rPr>
          <w:rFonts w:ascii="Calibri" w:hAnsi="Calibri" w:cs="Calibri"/>
          <w:color w:val="1560A0"/>
          <w:lang w:val="en-US"/>
        </w:rPr>
        <w:t>) and the College of Radiographers (</w:t>
      </w:r>
      <w:proofErr w:type="spellStart"/>
      <w:r w:rsidR="0018753F">
        <w:rPr>
          <w:rFonts w:ascii="Calibri" w:hAnsi="Calibri" w:cs="Calibri"/>
          <w:color w:val="1560A0"/>
          <w:lang w:val="en-US"/>
        </w:rPr>
        <w:fldChar w:fldCharType="begin"/>
      </w:r>
      <w:r w:rsidR="0018753F">
        <w:rPr>
          <w:rFonts w:ascii="Calibri" w:hAnsi="Calibri" w:cs="Calibri"/>
          <w:color w:val="1560A0"/>
          <w:lang w:val="en-US"/>
        </w:rPr>
        <w:instrText>HYPERLINK "https://www.collegeofradiographers.ac.uk/"</w:instrText>
      </w:r>
      <w:r w:rsidR="0018753F">
        <w:rPr>
          <w:rFonts w:ascii="Calibri" w:hAnsi="Calibri" w:cs="Calibri"/>
          <w:color w:val="1560A0"/>
          <w:lang w:val="en-US"/>
        </w:rPr>
      </w:r>
      <w:r w:rsidR="0018753F">
        <w:rPr>
          <w:rFonts w:ascii="Calibri" w:hAnsi="Calibri" w:cs="Calibri"/>
          <w:color w:val="1560A0"/>
          <w:lang w:val="en-US"/>
        </w:rPr>
        <w:fldChar w:fldCharType="separate"/>
      </w:r>
      <w:r w:rsidRPr="0018753F">
        <w:rPr>
          <w:rStyle w:val="Hyperlink"/>
          <w:rFonts w:ascii="Calibri" w:hAnsi="Calibri" w:cs="Calibri"/>
          <w:lang w:val="en-US"/>
        </w:rPr>
        <w:t>CoR</w:t>
      </w:r>
      <w:proofErr w:type="spellEnd"/>
      <w:r w:rsidR="0018753F">
        <w:rPr>
          <w:rFonts w:ascii="Calibri" w:hAnsi="Calibri" w:cs="Calibri"/>
          <w:color w:val="1560A0"/>
          <w:lang w:val="en-US"/>
        </w:rPr>
        <w:fldChar w:fldCharType="end"/>
      </w:r>
      <w:r w:rsidRPr="00290BBB">
        <w:rPr>
          <w:rFonts w:ascii="Calibri" w:hAnsi="Calibri" w:cs="Calibri"/>
          <w:color w:val="1560A0"/>
          <w:lang w:val="en-US"/>
        </w:rPr>
        <w:t>) are separate companies (</w:t>
      </w:r>
      <w:proofErr w:type="spellStart"/>
      <w:r w:rsidRPr="00290BBB">
        <w:rPr>
          <w:rFonts w:ascii="Calibri" w:hAnsi="Calibri" w:cs="Calibri"/>
          <w:color w:val="1560A0"/>
          <w:lang w:val="en-US"/>
        </w:rPr>
        <w:t>CoR</w:t>
      </w:r>
      <w:proofErr w:type="spellEnd"/>
      <w:r w:rsidRPr="00290BBB">
        <w:rPr>
          <w:rFonts w:ascii="Calibri" w:hAnsi="Calibri" w:cs="Calibri"/>
          <w:color w:val="1560A0"/>
          <w:lang w:val="en-US"/>
        </w:rPr>
        <w:t xml:space="preserve"> is also a registered charity) but work together as the Society and College of Radiographers (‘</w:t>
      </w:r>
      <w:proofErr w:type="spellStart"/>
      <w:r w:rsidRPr="00290BBB">
        <w:rPr>
          <w:rFonts w:ascii="Calibri" w:hAnsi="Calibri" w:cs="Calibri"/>
          <w:color w:val="1560A0"/>
          <w:lang w:val="en-US"/>
        </w:rPr>
        <w:t>SoR</w:t>
      </w:r>
      <w:proofErr w:type="spellEnd"/>
      <w:r w:rsidRPr="00290BBB">
        <w:rPr>
          <w:rFonts w:ascii="Calibri" w:hAnsi="Calibri" w:cs="Calibri"/>
          <w:color w:val="1560A0"/>
          <w:lang w:val="en-US"/>
        </w:rPr>
        <w:t>’ and the ‘</w:t>
      </w:r>
      <w:proofErr w:type="spellStart"/>
      <w:r w:rsidRPr="00290BBB">
        <w:rPr>
          <w:rFonts w:ascii="Calibri" w:hAnsi="Calibri" w:cs="Calibri"/>
          <w:color w:val="1560A0"/>
          <w:lang w:val="en-US"/>
        </w:rPr>
        <w:t>CoR</w:t>
      </w:r>
      <w:proofErr w:type="spellEnd"/>
      <w:r w:rsidRPr="00290BBB">
        <w:rPr>
          <w:rFonts w:ascii="Calibri" w:hAnsi="Calibri" w:cs="Calibri"/>
          <w:color w:val="1560A0"/>
          <w:lang w:val="en-US"/>
        </w:rPr>
        <w:t xml:space="preserve">’) and as part of their roles prepare and publish guidance. All guidance published by the </w:t>
      </w:r>
      <w:proofErr w:type="spellStart"/>
      <w:r w:rsidRPr="00290BBB">
        <w:rPr>
          <w:rFonts w:ascii="Calibri" w:hAnsi="Calibri" w:cs="Calibri"/>
          <w:color w:val="1560A0"/>
          <w:lang w:val="en-US"/>
        </w:rPr>
        <w:t>SoR</w:t>
      </w:r>
      <w:proofErr w:type="spellEnd"/>
      <w:r w:rsidRPr="00290BBB">
        <w:rPr>
          <w:rFonts w:ascii="Calibri" w:hAnsi="Calibri" w:cs="Calibri"/>
          <w:color w:val="1560A0"/>
          <w:lang w:val="en-US"/>
        </w:rPr>
        <w:t xml:space="preserve"> and/or the </w:t>
      </w:r>
      <w:proofErr w:type="spellStart"/>
      <w:r w:rsidRPr="00290BBB">
        <w:rPr>
          <w:rFonts w:ascii="Calibri" w:hAnsi="Calibri" w:cs="Calibri"/>
          <w:color w:val="1560A0"/>
          <w:lang w:val="en-US"/>
        </w:rPr>
        <w:t>CoR</w:t>
      </w:r>
      <w:proofErr w:type="spellEnd"/>
      <w:r w:rsidRPr="00290BBB">
        <w:rPr>
          <w:rFonts w:ascii="Calibri" w:hAnsi="Calibri" w:cs="Calibri"/>
          <w:color w:val="1560A0"/>
          <w:lang w:val="en-US"/>
        </w:rPr>
        <w:t xml:space="preserve"> is for the purpose of assisting members, professionals, patients and the </w:t>
      </w:r>
      <w:proofErr w:type="gramStart"/>
      <w:r w:rsidRPr="00290BBB">
        <w:rPr>
          <w:rFonts w:ascii="Calibri" w:hAnsi="Calibri" w:cs="Calibri"/>
          <w:color w:val="1560A0"/>
          <w:lang w:val="en-US"/>
        </w:rPr>
        <w:t>general public</w:t>
      </w:r>
      <w:proofErr w:type="gramEnd"/>
      <w:r w:rsidRPr="00290BBB">
        <w:rPr>
          <w:rFonts w:ascii="Calibri" w:hAnsi="Calibri" w:cs="Calibri"/>
          <w:color w:val="1560A0"/>
          <w:lang w:val="en-US"/>
        </w:rPr>
        <w:t xml:space="preserve"> and sets out what the </w:t>
      </w:r>
      <w:proofErr w:type="spellStart"/>
      <w:r w:rsidRPr="00290BBB">
        <w:rPr>
          <w:rFonts w:ascii="Calibri" w:hAnsi="Calibri" w:cs="Calibri"/>
          <w:color w:val="1560A0"/>
          <w:lang w:val="en-US"/>
        </w:rPr>
        <w:t>SoR</w:t>
      </w:r>
      <w:proofErr w:type="spellEnd"/>
      <w:r w:rsidRPr="00290BBB">
        <w:rPr>
          <w:rFonts w:ascii="Calibri" w:hAnsi="Calibri" w:cs="Calibri"/>
          <w:color w:val="1560A0"/>
          <w:lang w:val="en-US"/>
        </w:rPr>
        <w:t xml:space="preserve"> and the </w:t>
      </w:r>
      <w:proofErr w:type="spellStart"/>
      <w:r w:rsidRPr="00290BBB">
        <w:rPr>
          <w:rFonts w:ascii="Calibri" w:hAnsi="Calibri" w:cs="Calibri"/>
          <w:color w:val="1560A0"/>
          <w:lang w:val="en-US"/>
        </w:rPr>
        <w:t>CoR</w:t>
      </w:r>
      <w:proofErr w:type="spellEnd"/>
      <w:r w:rsidRPr="00290BBB">
        <w:rPr>
          <w:rFonts w:ascii="Calibri" w:hAnsi="Calibri" w:cs="Calibri"/>
          <w:color w:val="1560A0"/>
          <w:lang w:val="en-US"/>
        </w:rPr>
        <w:t xml:space="preserve"> consider to be recommended practice. While the intention of the guidance published is to set out best practice and to influence practices across the sector, any local procedures implemented by local NHS trusts, health boards and independent providers (or other employing authorities) will always take precedence. The </w:t>
      </w:r>
      <w:proofErr w:type="spellStart"/>
      <w:r w:rsidRPr="00290BBB">
        <w:rPr>
          <w:rFonts w:ascii="Calibri" w:hAnsi="Calibri" w:cs="Calibri"/>
          <w:color w:val="1560A0"/>
          <w:lang w:val="en-US"/>
        </w:rPr>
        <w:t>SoR</w:t>
      </w:r>
      <w:proofErr w:type="spellEnd"/>
      <w:r w:rsidRPr="00290BBB">
        <w:rPr>
          <w:rFonts w:ascii="Calibri" w:hAnsi="Calibri" w:cs="Calibri"/>
          <w:color w:val="1560A0"/>
          <w:lang w:val="en-US"/>
        </w:rPr>
        <w:t xml:space="preserve"> and the </w:t>
      </w:r>
      <w:proofErr w:type="spellStart"/>
      <w:r w:rsidRPr="00290BBB">
        <w:rPr>
          <w:rFonts w:ascii="Calibri" w:hAnsi="Calibri" w:cs="Calibri"/>
          <w:color w:val="1560A0"/>
          <w:lang w:val="en-US"/>
        </w:rPr>
        <w:t>CoR</w:t>
      </w:r>
      <w:proofErr w:type="spellEnd"/>
      <w:r w:rsidRPr="00290BBB">
        <w:rPr>
          <w:rFonts w:ascii="Calibri" w:hAnsi="Calibri" w:cs="Calibri"/>
          <w:color w:val="1560A0"/>
          <w:lang w:val="en-US"/>
        </w:rPr>
        <w:t xml:space="preserve"> have no role in enforcing the application of any guidance.</w:t>
      </w:r>
      <w:r w:rsidR="0018753F">
        <w:rPr>
          <w:rFonts w:ascii="Calibri" w:hAnsi="Calibri" w:cs="Calibri"/>
          <w:color w:val="1560A0"/>
          <w:lang w:val="en-US"/>
        </w:rPr>
        <w:t xml:space="preserve"> </w:t>
      </w:r>
      <w:r w:rsidRPr="00290BBB">
        <w:rPr>
          <w:rFonts w:ascii="Calibri" w:hAnsi="Calibri" w:cs="Calibri"/>
          <w:color w:val="1560A0"/>
          <w:lang w:val="en-US"/>
        </w:rPr>
        <w:t xml:space="preserve">The rights and benefits of members of the </w:t>
      </w:r>
      <w:proofErr w:type="spellStart"/>
      <w:r w:rsidRPr="00290BBB">
        <w:rPr>
          <w:rFonts w:ascii="Calibri" w:hAnsi="Calibri" w:cs="Calibri"/>
          <w:color w:val="1560A0"/>
          <w:lang w:val="en-US"/>
        </w:rPr>
        <w:t>SoR</w:t>
      </w:r>
      <w:proofErr w:type="spellEnd"/>
      <w:r w:rsidRPr="00290BBB">
        <w:rPr>
          <w:rFonts w:ascii="Calibri" w:hAnsi="Calibri" w:cs="Calibri"/>
          <w:color w:val="1560A0"/>
          <w:lang w:val="en-US"/>
        </w:rPr>
        <w:t xml:space="preserve"> are set out in the </w:t>
      </w:r>
      <w:hyperlink r:id="rId8" w:history="1">
        <w:proofErr w:type="spellStart"/>
        <w:r w:rsidRPr="0018753F">
          <w:rPr>
            <w:rStyle w:val="Hyperlink"/>
            <w:rFonts w:ascii="Calibri" w:hAnsi="Calibri" w:cs="Calibri"/>
            <w:lang w:val="en-US"/>
          </w:rPr>
          <w:t>SoR</w:t>
        </w:r>
        <w:proofErr w:type="spellEnd"/>
        <w:r w:rsidRPr="0018753F">
          <w:rPr>
            <w:rStyle w:val="Hyperlink"/>
            <w:rFonts w:ascii="Calibri" w:hAnsi="Calibri" w:cs="Calibri"/>
            <w:lang w:val="en-US"/>
          </w:rPr>
          <w:t xml:space="preserve"> Handbook</w:t>
        </w:r>
      </w:hyperlink>
      <w:r w:rsidRPr="00290BBB">
        <w:rPr>
          <w:rFonts w:ascii="Calibri" w:hAnsi="Calibri" w:cs="Calibri"/>
          <w:color w:val="1560A0"/>
          <w:lang w:val="en-US"/>
        </w:rPr>
        <w:t xml:space="preserve">.   </w:t>
      </w:r>
    </w:p>
    <w:p w14:paraId="7BC5C60A" w14:textId="77777777" w:rsidR="00290BBB" w:rsidRPr="00290BBB" w:rsidRDefault="00290BBB">
      <w:pPr>
        <w:rPr>
          <w:rFonts w:ascii="Calibri" w:hAnsi="Calibri" w:cs="Calibri"/>
          <w:color w:val="1560A0"/>
          <w:lang w:val="en-US"/>
        </w:rPr>
      </w:pPr>
    </w:p>
    <w:p w14:paraId="0765D2AB" w14:textId="3E7581FA" w:rsidR="00290BBB" w:rsidRPr="00290BBB" w:rsidRDefault="00290BBB">
      <w:pPr>
        <w:rPr>
          <w:rFonts w:ascii="Calibri" w:hAnsi="Calibri" w:cs="Calibri"/>
          <w:color w:val="1560A0"/>
        </w:rPr>
      </w:pPr>
      <w:r w:rsidRPr="00290BBB">
        <w:rPr>
          <w:rFonts w:ascii="Calibri" w:hAnsi="Calibri" w:cs="Calibri"/>
          <w:color w:val="1560A0"/>
          <w:lang w:val="en-US"/>
        </w:rPr>
        <w:t>© The Society and College of Radiographers 2026. Material may only be reproduced</w:t>
      </w:r>
      <w:r>
        <w:rPr>
          <w:rFonts w:ascii="Calibri" w:hAnsi="Calibri" w:cs="Calibri"/>
          <w:color w:val="1560A0"/>
          <w:lang w:val="en-US"/>
        </w:rPr>
        <w:t xml:space="preserve"> </w:t>
      </w:r>
      <w:r w:rsidRPr="00290BBB">
        <w:rPr>
          <w:rFonts w:ascii="Calibri" w:hAnsi="Calibri" w:cs="Calibri"/>
          <w:color w:val="1560A0"/>
          <w:lang w:val="en-US"/>
        </w:rPr>
        <w:t>from this publication with clear acknowledgement that it is the original source</w:t>
      </w:r>
      <w:r>
        <w:rPr>
          <w:rFonts w:ascii="Calibri" w:hAnsi="Calibri" w:cs="Calibri"/>
          <w:color w:val="1560A0"/>
          <w:lang w:val="en-US"/>
        </w:rPr>
        <w:t>.</w:t>
      </w:r>
    </w:p>
    <w:p w14:paraId="541E0891" w14:textId="77777777" w:rsidR="00290BBB" w:rsidRDefault="00290BBB"/>
    <w:p w14:paraId="4BFE9944" w14:textId="77777777" w:rsidR="00290BBB" w:rsidRDefault="00290BBB"/>
    <w:p w14:paraId="27A93FBB" w14:textId="77777777" w:rsidR="00290BBB" w:rsidRDefault="00290BBB"/>
    <w:p w14:paraId="23F3B298" w14:textId="77777777" w:rsidR="00290BBB" w:rsidRDefault="00290BBB"/>
    <w:p w14:paraId="7660192E" w14:textId="77777777" w:rsidR="00290BBB" w:rsidRDefault="00290BBB"/>
    <w:p w14:paraId="6F9D7E04" w14:textId="77777777" w:rsidR="00290BBB" w:rsidRDefault="00290BBB"/>
    <w:p w14:paraId="5A2D933C" w14:textId="77777777" w:rsidR="00290BBB" w:rsidRDefault="00290BBB"/>
    <w:p w14:paraId="510E5C39" w14:textId="77777777" w:rsidR="00290BBB" w:rsidRDefault="00290BBB"/>
    <w:p w14:paraId="7FBDCA5E" w14:textId="77777777" w:rsidR="00290BBB" w:rsidRDefault="00290BBB"/>
    <w:p w14:paraId="1D9BD309" w14:textId="77777777" w:rsidR="00290BBB" w:rsidRDefault="00290BBB"/>
    <w:p w14:paraId="3FAC4FB6" w14:textId="77777777" w:rsidR="00290BBB" w:rsidRDefault="00290BBB"/>
    <w:p w14:paraId="6814B543" w14:textId="77777777" w:rsidR="00290BBB" w:rsidRDefault="00290BBB"/>
    <w:p w14:paraId="35E69679" w14:textId="77777777" w:rsidR="00290BBB" w:rsidRDefault="00290BBB"/>
    <w:p w14:paraId="04509D20" w14:textId="77777777" w:rsidR="00290BBB" w:rsidRDefault="00290BBB"/>
    <w:p w14:paraId="1479F39C" w14:textId="77777777" w:rsidR="00290BBB" w:rsidRDefault="00290BBB"/>
    <w:p w14:paraId="3DC21628" w14:textId="77777777" w:rsidR="00290BBB" w:rsidRDefault="00290BBB"/>
    <w:p w14:paraId="6B8E4FBF" w14:textId="77777777" w:rsidR="00290BBB" w:rsidRDefault="00290BBB"/>
    <w:p w14:paraId="18367BB3" w14:textId="77777777" w:rsidR="00290BBB" w:rsidRDefault="00290BBB"/>
    <w:p w14:paraId="56404FAE" w14:textId="77777777" w:rsidR="00290BBB" w:rsidRDefault="00290BBB"/>
    <w:p w14:paraId="678D3237" w14:textId="77777777" w:rsidR="00290BBB" w:rsidRDefault="00290BBB"/>
    <w:p w14:paraId="6ECC1286" w14:textId="77777777" w:rsidR="00290BBB" w:rsidRDefault="00290BBB"/>
    <w:p w14:paraId="74C614D0" w14:textId="77777777" w:rsidR="00290BBB" w:rsidRDefault="00290BBB"/>
    <w:p w14:paraId="5CEAD187" w14:textId="77777777" w:rsidR="00290BBB" w:rsidRDefault="00290BBB"/>
    <w:p w14:paraId="1E51D2BA" w14:textId="77777777" w:rsidR="00290BBB" w:rsidRDefault="00290BBB"/>
    <w:p w14:paraId="1A15B229" w14:textId="77777777" w:rsidR="00290BBB" w:rsidRDefault="00290BBB"/>
    <w:p w14:paraId="0DBDA26C" w14:textId="77777777" w:rsidR="00290BBB" w:rsidRDefault="00290BBB"/>
    <w:p w14:paraId="6A427AA9" w14:textId="77777777" w:rsidR="00290BBB" w:rsidRDefault="00290BBB"/>
    <w:p w14:paraId="2FA8BBA3" w14:textId="77777777" w:rsidR="00290BBB" w:rsidRPr="00BF6E94" w:rsidRDefault="00290BBB">
      <w:pPr>
        <w:rPr>
          <w:rFonts w:ascii="Calibri" w:hAnsi="Calibri" w:cs="Calibri"/>
          <w:color w:val="1560A0"/>
        </w:rPr>
      </w:pPr>
    </w:p>
    <w:p w14:paraId="3D2B0B4B" w14:textId="6F79D6EB" w:rsidR="00BF6E94" w:rsidRPr="0018753F" w:rsidRDefault="00BF6E94" w:rsidP="0018753F">
      <w:pPr>
        <w:pStyle w:val="Heading2"/>
        <w:rPr>
          <w:rFonts w:ascii="Calibri" w:hAnsi="Calibri" w:cs="Calibri"/>
          <w:b/>
          <w:bCs/>
          <w:color w:val="1560A0"/>
          <w:sz w:val="40"/>
          <w:szCs w:val="40"/>
          <w:lang w:val="en-US"/>
        </w:rPr>
      </w:pPr>
      <w:r w:rsidRPr="00BF6E94">
        <w:rPr>
          <w:rFonts w:ascii="Calibri" w:hAnsi="Calibri" w:cs="Calibri"/>
          <w:b/>
          <w:bCs/>
          <w:color w:val="1560A0"/>
          <w:sz w:val="40"/>
          <w:szCs w:val="40"/>
          <w:lang w:val="en-US"/>
        </w:rPr>
        <w:t>Overview</w:t>
      </w:r>
    </w:p>
    <w:p w14:paraId="007AEEF8" w14:textId="77777777" w:rsidR="00BF6E94" w:rsidRPr="00BF6E94" w:rsidRDefault="00BF6E94" w:rsidP="00BF6E94">
      <w:pPr>
        <w:pStyle w:val="Heading3"/>
        <w:rPr>
          <w:rFonts w:ascii="Calibri" w:hAnsi="Calibri" w:cs="Calibri"/>
          <w:color w:val="1560A0"/>
          <w:sz w:val="24"/>
          <w:szCs w:val="24"/>
          <w:lang w:val="en-US"/>
        </w:rPr>
      </w:pPr>
      <w:r w:rsidRPr="00BF6E94">
        <w:rPr>
          <w:rFonts w:ascii="Calibri" w:hAnsi="Calibri" w:cs="Calibri"/>
          <w:color w:val="1560A0"/>
          <w:sz w:val="24"/>
          <w:szCs w:val="24"/>
          <w:lang w:val="en-US"/>
        </w:rPr>
        <w:t>The Society of Radiographers (</w:t>
      </w:r>
      <w:proofErr w:type="spellStart"/>
      <w:r w:rsidRPr="00BF6E94">
        <w:rPr>
          <w:rFonts w:ascii="Calibri" w:hAnsi="Calibri" w:cs="Calibri"/>
          <w:color w:val="1560A0"/>
          <w:sz w:val="24"/>
          <w:szCs w:val="24"/>
          <w:lang w:val="en-US"/>
        </w:rPr>
        <w:t>SoR</w:t>
      </w:r>
      <w:proofErr w:type="spellEnd"/>
      <w:r w:rsidRPr="00BF6E94">
        <w:rPr>
          <w:rFonts w:ascii="Calibri" w:hAnsi="Calibri" w:cs="Calibri"/>
          <w:color w:val="1560A0"/>
          <w:sz w:val="24"/>
          <w:szCs w:val="24"/>
          <w:lang w:val="en-US"/>
        </w:rPr>
        <w:t>) CT Advisory Group (CTAG) has developed these national professional competencies to support the consistent application of theoretical and practical training, and to reduce unwarranted variation in the assessment of competence of radiographers working in CT.</w:t>
      </w:r>
    </w:p>
    <w:p w14:paraId="072E43C3" w14:textId="77777777" w:rsidR="00BF6E94" w:rsidRPr="00BF6E94" w:rsidRDefault="00BF6E94" w:rsidP="00BF6E94">
      <w:pPr>
        <w:pStyle w:val="Heading3"/>
        <w:rPr>
          <w:rFonts w:ascii="Calibri" w:hAnsi="Calibri" w:cs="Calibri"/>
          <w:color w:val="1560A0"/>
          <w:sz w:val="24"/>
          <w:szCs w:val="24"/>
          <w:lang w:val="en-US"/>
        </w:rPr>
      </w:pPr>
      <w:r w:rsidRPr="00BF6E94">
        <w:rPr>
          <w:rFonts w:ascii="Calibri" w:hAnsi="Calibri" w:cs="Calibri"/>
          <w:color w:val="1560A0"/>
          <w:sz w:val="24"/>
          <w:szCs w:val="24"/>
          <w:lang w:val="en-US"/>
        </w:rPr>
        <w:t xml:space="preserve">CTAG is an appointed </w:t>
      </w:r>
      <w:proofErr w:type="spellStart"/>
      <w:r w:rsidRPr="00BF6E94">
        <w:rPr>
          <w:rFonts w:ascii="Calibri" w:hAnsi="Calibri" w:cs="Calibri"/>
          <w:color w:val="1560A0"/>
          <w:sz w:val="24"/>
          <w:szCs w:val="24"/>
          <w:lang w:val="en-US"/>
        </w:rPr>
        <w:t>SoR</w:t>
      </w:r>
      <w:proofErr w:type="spellEnd"/>
      <w:r w:rsidRPr="00BF6E94">
        <w:rPr>
          <w:rFonts w:ascii="Calibri" w:hAnsi="Calibri" w:cs="Calibri"/>
          <w:color w:val="1560A0"/>
          <w:sz w:val="24"/>
          <w:szCs w:val="24"/>
          <w:lang w:val="en-US"/>
        </w:rPr>
        <w:t xml:space="preserve"> membership committee of </w:t>
      </w:r>
      <w:proofErr w:type="spellStart"/>
      <w:r w:rsidRPr="00BF6E94">
        <w:rPr>
          <w:rFonts w:ascii="Calibri" w:hAnsi="Calibri" w:cs="Calibri"/>
          <w:color w:val="1560A0"/>
          <w:sz w:val="24"/>
          <w:szCs w:val="24"/>
          <w:lang w:val="en-US"/>
        </w:rPr>
        <w:t>recognised</w:t>
      </w:r>
      <w:proofErr w:type="spellEnd"/>
      <w:r w:rsidRPr="00BF6E94">
        <w:rPr>
          <w:rFonts w:ascii="Calibri" w:hAnsi="Calibri" w:cs="Calibri"/>
          <w:color w:val="1560A0"/>
          <w:sz w:val="24"/>
          <w:szCs w:val="24"/>
          <w:lang w:val="en-US"/>
        </w:rPr>
        <w:t xml:space="preserve"> expert radiographers from education and the clinical CT workforce.</w:t>
      </w:r>
    </w:p>
    <w:p w14:paraId="14EA5501" w14:textId="77777777" w:rsidR="00BF6E94" w:rsidRPr="00BF6E94" w:rsidRDefault="00BF6E94" w:rsidP="00BF6E94">
      <w:pPr>
        <w:pStyle w:val="Heading3"/>
        <w:spacing w:after="0"/>
        <w:rPr>
          <w:rFonts w:ascii="Calibri" w:hAnsi="Calibri" w:cs="Calibri"/>
          <w:color w:val="1560A0"/>
          <w:sz w:val="24"/>
          <w:szCs w:val="24"/>
          <w:lang w:val="en-US"/>
        </w:rPr>
      </w:pPr>
      <w:r w:rsidRPr="00BF6E94">
        <w:rPr>
          <w:rFonts w:ascii="Calibri" w:hAnsi="Calibri" w:cs="Calibri"/>
          <w:color w:val="1560A0"/>
          <w:sz w:val="24"/>
          <w:szCs w:val="24"/>
          <w:lang w:val="en-US"/>
        </w:rPr>
        <w:t xml:space="preserve">The </w:t>
      </w:r>
      <w:r w:rsidRPr="00BF6E94">
        <w:rPr>
          <w:rFonts w:ascii="Calibri" w:hAnsi="Calibri" w:cs="Calibri"/>
          <w:i/>
          <w:iCs/>
          <w:color w:val="1560A0"/>
          <w:sz w:val="24"/>
          <w:szCs w:val="24"/>
          <w:lang w:val="en-US"/>
        </w:rPr>
        <w:t>Quality Standard for Imaging</w:t>
      </w:r>
      <w:r w:rsidRPr="00BF6E94">
        <w:rPr>
          <w:rFonts w:ascii="Calibri" w:hAnsi="Calibri" w:cs="Calibri"/>
          <w:color w:val="1560A0"/>
          <w:sz w:val="24"/>
          <w:szCs w:val="24"/>
          <w:lang w:val="en-US"/>
        </w:rPr>
        <w:t xml:space="preserve"> (QSI)</w:t>
      </w:r>
      <w:r w:rsidRPr="00BF6E94">
        <w:rPr>
          <w:rFonts w:ascii="Calibri" w:hAnsi="Calibri" w:cs="Calibri"/>
          <w:color w:val="1560A0"/>
          <w:sz w:val="24"/>
          <w:szCs w:val="24"/>
          <w:vertAlign w:val="superscript"/>
          <w:lang w:val="en-US"/>
        </w:rPr>
        <w:t>1</w:t>
      </w:r>
      <w:r w:rsidRPr="00BF6E94">
        <w:rPr>
          <w:rFonts w:ascii="Calibri" w:hAnsi="Calibri" w:cs="Calibri"/>
          <w:color w:val="1560A0"/>
          <w:sz w:val="24"/>
          <w:szCs w:val="24"/>
          <w:lang w:val="en-US"/>
        </w:rPr>
        <w:t xml:space="preserve"> requires and </w:t>
      </w:r>
      <w:r w:rsidRPr="00BF6E94">
        <w:rPr>
          <w:rFonts w:ascii="Calibri" w:hAnsi="Calibri" w:cs="Calibri"/>
          <w:i/>
          <w:iCs/>
          <w:color w:val="1560A0"/>
          <w:sz w:val="24"/>
          <w:szCs w:val="24"/>
          <w:lang w:val="en-US"/>
        </w:rPr>
        <w:t>Principles of Safe Staffing for Radiography Leaders</w:t>
      </w:r>
      <w:r w:rsidRPr="00BF6E94">
        <w:rPr>
          <w:rFonts w:ascii="Calibri" w:hAnsi="Calibri" w:cs="Calibri"/>
          <w:color w:val="1560A0"/>
          <w:sz w:val="24"/>
          <w:szCs w:val="24"/>
          <w:vertAlign w:val="superscript"/>
          <w:lang w:val="en-US"/>
        </w:rPr>
        <w:t>2</w:t>
      </w:r>
      <w:r w:rsidRPr="00BF6E94">
        <w:rPr>
          <w:rFonts w:ascii="Calibri" w:hAnsi="Calibri" w:cs="Calibri"/>
          <w:color w:val="1560A0"/>
          <w:sz w:val="24"/>
          <w:szCs w:val="24"/>
          <w:lang w:val="en-US"/>
        </w:rPr>
        <w:t xml:space="preserve"> recommends that a competency framework is in place for defining roles and tasks within a service.</w:t>
      </w:r>
    </w:p>
    <w:p w14:paraId="7CCBB913" w14:textId="0251D7AE" w:rsidR="00BF6E94" w:rsidRPr="00BF6E94" w:rsidRDefault="0018753F" w:rsidP="00BF6E94">
      <w:pPr>
        <w:pStyle w:val="Heading3"/>
        <w:rPr>
          <w:rFonts w:ascii="Calibri" w:hAnsi="Calibri" w:cs="Calibri"/>
          <w:color w:val="1560A0"/>
          <w:sz w:val="24"/>
          <w:szCs w:val="24"/>
          <w:lang w:val="en-US"/>
        </w:rPr>
      </w:pPr>
      <w:hyperlink r:id="rId9" w:history="1">
        <w:r w:rsidR="00BF6E94" w:rsidRPr="0018753F">
          <w:rPr>
            <w:rStyle w:val="Hyperlink"/>
            <w:rFonts w:ascii="Calibri" w:hAnsi="Calibri" w:cs="Calibri"/>
            <w:sz w:val="24"/>
            <w:szCs w:val="24"/>
            <w:lang w:val="en-US"/>
          </w:rPr>
          <w:t>The competencies framework</w:t>
        </w:r>
      </w:hyperlink>
      <w:r w:rsidR="00BF6E94" w:rsidRPr="00BF6E94">
        <w:rPr>
          <w:rFonts w:ascii="Calibri" w:hAnsi="Calibri" w:cs="Calibri"/>
          <w:color w:val="1560A0"/>
          <w:sz w:val="24"/>
          <w:szCs w:val="24"/>
          <w:lang w:val="en-US"/>
        </w:rPr>
        <w:t xml:space="preserve"> defines what adequate training means in relation to working as an operator or practitioner duty holder at radiographer practitioner level in CT and as required by The </w:t>
      </w:r>
      <w:proofErr w:type="spellStart"/>
      <w:r w:rsidR="00BF6E94" w:rsidRPr="00BF6E94">
        <w:rPr>
          <w:rFonts w:ascii="Calibri" w:hAnsi="Calibri" w:cs="Calibri"/>
          <w:color w:val="1560A0"/>
          <w:sz w:val="24"/>
          <w:szCs w:val="24"/>
          <w:lang w:val="en-US"/>
        </w:rPr>
        <w:t>Ionising</w:t>
      </w:r>
      <w:proofErr w:type="spellEnd"/>
      <w:r w:rsidR="00BF6E94" w:rsidRPr="00BF6E94">
        <w:rPr>
          <w:rFonts w:ascii="Calibri" w:hAnsi="Calibri" w:cs="Calibri"/>
          <w:color w:val="1560A0"/>
          <w:sz w:val="24"/>
          <w:szCs w:val="24"/>
          <w:lang w:val="en-US"/>
        </w:rPr>
        <w:t xml:space="preserve"> Radiation (Medical Exposure) Regulations.</w:t>
      </w:r>
      <w:r w:rsidR="00BF6E94" w:rsidRPr="00BF6E94">
        <w:rPr>
          <w:rFonts w:ascii="Calibri" w:hAnsi="Calibri" w:cs="Calibri"/>
          <w:color w:val="1560A0"/>
          <w:sz w:val="24"/>
          <w:szCs w:val="24"/>
          <w:vertAlign w:val="superscript"/>
          <w:lang w:val="en-US"/>
        </w:rPr>
        <w:t>3,4</w:t>
      </w:r>
      <w:r w:rsidR="00BF6E94" w:rsidRPr="00BF6E94">
        <w:rPr>
          <w:rFonts w:ascii="Calibri" w:hAnsi="Calibri" w:cs="Calibri"/>
          <w:color w:val="1560A0"/>
          <w:sz w:val="24"/>
          <w:szCs w:val="24"/>
          <w:lang w:val="en-US"/>
        </w:rPr>
        <w:t xml:space="preserve"> Alongside formal education it supports duty holders to fulfil the requirements of schedule 3 of The </w:t>
      </w:r>
      <w:proofErr w:type="spellStart"/>
      <w:r w:rsidR="00BF6E94" w:rsidRPr="00BF6E94">
        <w:rPr>
          <w:rFonts w:ascii="Calibri" w:hAnsi="Calibri" w:cs="Calibri"/>
          <w:color w:val="1560A0"/>
          <w:sz w:val="24"/>
          <w:szCs w:val="24"/>
          <w:lang w:val="en-US"/>
        </w:rPr>
        <w:t>Ionising</w:t>
      </w:r>
      <w:proofErr w:type="spellEnd"/>
      <w:r w:rsidR="00BF6E94" w:rsidRPr="00BF6E94">
        <w:rPr>
          <w:rFonts w:ascii="Calibri" w:hAnsi="Calibri" w:cs="Calibri"/>
          <w:color w:val="1560A0"/>
          <w:sz w:val="24"/>
          <w:szCs w:val="24"/>
          <w:lang w:val="en-US"/>
        </w:rPr>
        <w:t xml:space="preserve"> Radiation (Medical Exposure) Regulations 2017.</w:t>
      </w:r>
      <w:r w:rsidR="00BF6E94" w:rsidRPr="00BF6E94">
        <w:rPr>
          <w:rFonts w:ascii="Calibri" w:hAnsi="Calibri" w:cs="Calibri"/>
          <w:color w:val="1560A0"/>
          <w:sz w:val="24"/>
          <w:szCs w:val="24"/>
          <w:vertAlign w:val="superscript"/>
          <w:lang w:val="en-US"/>
        </w:rPr>
        <w:t>3</w:t>
      </w:r>
      <w:r w:rsidR="00BF6E94" w:rsidRPr="00BF6E94">
        <w:rPr>
          <w:rFonts w:ascii="Calibri" w:hAnsi="Calibri" w:cs="Calibri"/>
          <w:color w:val="1560A0"/>
          <w:sz w:val="24"/>
          <w:szCs w:val="24"/>
          <w:lang w:val="en-US"/>
        </w:rPr>
        <w:t xml:space="preserve"> </w:t>
      </w:r>
    </w:p>
    <w:p w14:paraId="2E880ED1" w14:textId="7777777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The framework is built upon existing research reflecting priorities for technical competencies required during an individual’s early career in CT.</w:t>
      </w:r>
      <w:r w:rsidRPr="00BF6E94">
        <w:rPr>
          <w:rFonts w:ascii="Calibri" w:eastAsiaTheme="majorEastAsia" w:hAnsi="Calibri" w:cs="Calibri"/>
          <w:color w:val="1560A0"/>
          <w:vertAlign w:val="superscript"/>
          <w:lang w:val="en-US"/>
        </w:rPr>
        <w:t>5</w:t>
      </w:r>
      <w:r w:rsidRPr="00BF6E94">
        <w:rPr>
          <w:rFonts w:ascii="Calibri" w:eastAsiaTheme="majorEastAsia" w:hAnsi="Calibri" w:cs="Calibri"/>
          <w:color w:val="1560A0"/>
          <w:lang w:val="en-US"/>
        </w:rPr>
        <w:t xml:space="preserve"> They align with professional best practice guidance. Alongside the practitioner-level education and qualification requirements and the knowledge, skills and attributes set out in the </w:t>
      </w:r>
      <w:r w:rsidRPr="00BF6E94">
        <w:rPr>
          <w:rFonts w:ascii="Calibri" w:eastAsiaTheme="majorEastAsia" w:hAnsi="Calibri" w:cs="Calibri"/>
          <w:i/>
          <w:iCs/>
          <w:color w:val="1560A0"/>
          <w:lang w:val="en-US"/>
        </w:rPr>
        <w:t>Education and Career Framework (ECF) for the Radiography Workforce (fourth edition)</w:t>
      </w:r>
      <w:r w:rsidRPr="00BF6E94">
        <w:rPr>
          <w:rFonts w:ascii="Calibri" w:eastAsiaTheme="majorEastAsia" w:hAnsi="Calibri" w:cs="Calibri"/>
          <w:color w:val="1560A0"/>
          <w:lang w:val="en-US"/>
        </w:rPr>
        <w:t>,</w:t>
      </w:r>
      <w:r w:rsidRPr="00BF6E94">
        <w:rPr>
          <w:rFonts w:ascii="Calibri" w:eastAsiaTheme="majorEastAsia" w:hAnsi="Calibri" w:cs="Calibri"/>
          <w:color w:val="1560A0"/>
          <w:vertAlign w:val="superscript"/>
          <w:lang w:val="en-US"/>
        </w:rPr>
        <w:t>6</w:t>
      </w:r>
      <w:r w:rsidRPr="00BF6E94">
        <w:rPr>
          <w:rFonts w:ascii="Calibri" w:eastAsiaTheme="majorEastAsia" w:hAnsi="Calibri" w:cs="Calibri"/>
          <w:color w:val="1560A0"/>
          <w:lang w:val="en-US"/>
        </w:rPr>
        <w:t xml:space="preserve"> they reflect the minimum requirements of adequate </w:t>
      </w:r>
      <w:r w:rsidRPr="00BF6E94">
        <w:rPr>
          <w:rFonts w:ascii="Calibri" w:eastAsiaTheme="majorEastAsia" w:hAnsi="Calibri" w:cs="Calibri"/>
          <w:color w:val="1560A0"/>
        </w:rPr>
        <w:t>training, including theoretical knowledge and practical experience</w:t>
      </w:r>
      <w:r w:rsidRPr="00BF6E94">
        <w:rPr>
          <w:rFonts w:ascii="Calibri" w:eastAsiaTheme="majorEastAsia" w:hAnsi="Calibri" w:cs="Calibri"/>
          <w:color w:val="1560A0"/>
          <w:lang w:val="en-US"/>
        </w:rPr>
        <w:t xml:space="preserve"> for anyone working in CT. </w:t>
      </w:r>
    </w:p>
    <w:p w14:paraId="667E3389" w14:textId="77777777" w:rsidR="00BF6E94" w:rsidRPr="00BF6E94" w:rsidRDefault="00BF6E94" w:rsidP="00BF6E94">
      <w:pPr>
        <w:rPr>
          <w:rFonts w:ascii="Calibri" w:eastAsiaTheme="majorEastAsia" w:hAnsi="Calibri" w:cs="Calibri"/>
          <w:color w:val="1560A0"/>
          <w:lang w:val="en-US"/>
        </w:rPr>
      </w:pPr>
    </w:p>
    <w:p w14:paraId="34AD4237" w14:textId="7777777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This evidence-based framework complements existing formal education pathways. It represents a benchmark for practical training in CT. It requires employer assessment and agreement that an individual has reached a safe and effective level of skills and knowledge relevant to their specific CT environment and scope of practice. </w:t>
      </w:r>
    </w:p>
    <w:p w14:paraId="1F159514" w14:textId="77777777" w:rsidR="00BF6E94" w:rsidRPr="00BF6E94" w:rsidRDefault="00BF6E94" w:rsidP="00BF6E94">
      <w:pPr>
        <w:rPr>
          <w:rFonts w:ascii="Calibri" w:eastAsiaTheme="majorEastAsia" w:hAnsi="Calibri" w:cs="Calibri"/>
          <w:color w:val="1560A0"/>
          <w:lang w:val="en-US"/>
        </w:rPr>
      </w:pPr>
    </w:p>
    <w:p w14:paraId="75D20D19" w14:textId="7777777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The competencies framework </w:t>
      </w:r>
      <w:proofErr w:type="spellStart"/>
      <w:r w:rsidRPr="00BF6E94">
        <w:rPr>
          <w:rFonts w:ascii="Calibri" w:eastAsiaTheme="majorEastAsia" w:hAnsi="Calibri" w:cs="Calibri"/>
          <w:color w:val="1560A0"/>
          <w:lang w:val="en-US"/>
        </w:rPr>
        <w:t>recognises</w:t>
      </w:r>
      <w:proofErr w:type="spellEnd"/>
      <w:r w:rsidRPr="00BF6E94">
        <w:rPr>
          <w:rFonts w:ascii="Calibri" w:eastAsiaTheme="majorEastAsia" w:hAnsi="Calibri" w:cs="Calibri"/>
          <w:color w:val="1560A0"/>
          <w:lang w:val="en-US"/>
        </w:rPr>
        <w:t xml:space="preserve"> that radiographers enter CT with a range of prior radiography experience, from minimal pre-registration exposure to post registration radiography experience in other roles. The competencies framework can therefore be used by early career radiographers and experienced radiographers new to CT.</w:t>
      </w:r>
    </w:p>
    <w:p w14:paraId="474A1BFA" w14:textId="77777777" w:rsidR="00BF6E94" w:rsidRPr="00BF6E94" w:rsidRDefault="00BF6E94" w:rsidP="00BF6E94">
      <w:pPr>
        <w:rPr>
          <w:rFonts w:ascii="Calibri" w:eastAsiaTheme="majorEastAsia" w:hAnsi="Calibri" w:cs="Calibri"/>
          <w:color w:val="1560A0"/>
          <w:lang w:val="en-US"/>
        </w:rPr>
      </w:pPr>
    </w:p>
    <w:p w14:paraId="164D5F1C" w14:textId="77777777" w:rsidR="00BF6E94" w:rsidRP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Radiographer duties and responsibilities may vary depending on the scope and complexity of the CT service. The framework facilitates flexibility in assessing competence within a variety of service delivery models, but it is expected that, as a minimum, all radiographers working in CT will have met the practitioner-level outcome measures relevant to the local service. </w:t>
      </w:r>
      <w:r w:rsidRPr="00BF6E94">
        <w:rPr>
          <w:rFonts w:ascii="Calibri" w:eastAsiaTheme="majorEastAsia" w:hAnsi="Calibri" w:cs="Calibri"/>
          <w:color w:val="1560A0"/>
        </w:rPr>
        <w:t>Where specific services are unavailable for assessment, for example interventional CT, individuals would not be expected to demonstrate competence in managing those procedures.</w:t>
      </w:r>
    </w:p>
    <w:p w14:paraId="314685B9" w14:textId="77777777" w:rsidR="00BF6E94" w:rsidRPr="00BF6E94" w:rsidRDefault="00BF6E94" w:rsidP="00BF6E94">
      <w:pPr>
        <w:pStyle w:val="Heading3"/>
        <w:rPr>
          <w:rFonts w:ascii="Calibri" w:hAnsi="Calibri" w:cs="Calibri"/>
          <w:color w:val="1560A0"/>
          <w:sz w:val="24"/>
          <w:szCs w:val="24"/>
          <w:lang w:val="en-US"/>
        </w:rPr>
      </w:pPr>
      <w:r w:rsidRPr="00BF6E94">
        <w:rPr>
          <w:rFonts w:ascii="Calibri" w:hAnsi="Calibri" w:cs="Calibri"/>
          <w:color w:val="1560A0"/>
          <w:sz w:val="24"/>
          <w:szCs w:val="24"/>
          <w:lang w:val="en-US"/>
        </w:rPr>
        <w:lastRenderedPageBreak/>
        <w:t>The framework is applicable to services of varying sizes operating a variety of staffing models in both the NHS and independent sector in the United Kingdom. It can be used by chief executive officers and senior managers to understand, plan and deliver safe and effective services, by service leads managing education and training, and by individuals considering their lifelong professional and technical development in CT.</w:t>
      </w:r>
    </w:p>
    <w:p w14:paraId="7984C7CB" w14:textId="77777777" w:rsidR="00BF6E94" w:rsidRPr="00BF6E94" w:rsidRDefault="00BF6E94" w:rsidP="00BF6E94">
      <w:pPr>
        <w:pStyle w:val="Heading3"/>
        <w:rPr>
          <w:rFonts w:ascii="Calibri" w:hAnsi="Calibri" w:cs="Calibri"/>
          <w:color w:val="1560A0"/>
          <w:sz w:val="24"/>
          <w:szCs w:val="24"/>
          <w:lang w:val="en-US"/>
        </w:rPr>
      </w:pPr>
      <w:r w:rsidRPr="00BF6E94">
        <w:rPr>
          <w:rFonts w:ascii="Calibri" w:hAnsi="Calibri" w:cs="Calibri"/>
          <w:color w:val="1560A0"/>
          <w:sz w:val="24"/>
          <w:szCs w:val="24"/>
          <w:lang w:val="en-US"/>
        </w:rPr>
        <w:t xml:space="preserve">The framework can be used to assure patients and the public by providing </w:t>
      </w:r>
      <w:r w:rsidRPr="00BF6E94">
        <w:rPr>
          <w:rFonts w:ascii="Calibri" w:hAnsi="Calibri" w:cs="Calibri"/>
          <w:i/>
          <w:iCs/>
          <w:color w:val="1560A0"/>
          <w:sz w:val="24"/>
          <w:szCs w:val="24"/>
          <w:lang w:val="en-US"/>
        </w:rPr>
        <w:t>QSI</w:t>
      </w:r>
      <w:r w:rsidRPr="00BF6E94">
        <w:rPr>
          <w:rFonts w:ascii="Calibri" w:hAnsi="Calibri" w:cs="Calibri"/>
          <w:color w:val="1560A0"/>
          <w:sz w:val="24"/>
          <w:szCs w:val="24"/>
          <w:vertAlign w:val="superscript"/>
          <w:lang w:val="en-US"/>
        </w:rPr>
        <w:t>1</w:t>
      </w:r>
      <w:r w:rsidRPr="00BF6E94">
        <w:rPr>
          <w:rFonts w:ascii="Calibri" w:hAnsi="Calibri" w:cs="Calibri"/>
          <w:color w:val="1560A0"/>
          <w:sz w:val="24"/>
          <w:szCs w:val="24"/>
          <w:lang w:val="en-US"/>
        </w:rPr>
        <w:t xml:space="preserve"> evidence on the quality and equity of radiographer training in UK CT services. It provides a </w:t>
      </w:r>
      <w:proofErr w:type="spellStart"/>
      <w:r w:rsidRPr="00BF6E94">
        <w:rPr>
          <w:rFonts w:ascii="Calibri" w:hAnsi="Calibri" w:cs="Calibri"/>
          <w:color w:val="1560A0"/>
          <w:sz w:val="24"/>
          <w:szCs w:val="24"/>
          <w:lang w:val="en-US"/>
        </w:rPr>
        <w:t>standardised</w:t>
      </w:r>
      <w:proofErr w:type="spellEnd"/>
      <w:r w:rsidRPr="00BF6E94">
        <w:rPr>
          <w:rFonts w:ascii="Calibri" w:hAnsi="Calibri" w:cs="Calibri"/>
          <w:color w:val="1560A0"/>
          <w:sz w:val="24"/>
          <w:szCs w:val="24"/>
          <w:lang w:val="en-US"/>
        </w:rPr>
        <w:t xml:space="preserve"> employer record of the knowledge base of the CT workforce, reduces the potential for training inconsistencies and risk of harm, and supports the delivery of safer high-quality patient outcomes.</w:t>
      </w:r>
    </w:p>
    <w:p w14:paraId="75F1C2C9" w14:textId="7777777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Services implementing the competencies framework are encouraged to feedback their experiences to the </w:t>
      </w:r>
      <w:proofErr w:type="spellStart"/>
      <w:r w:rsidRPr="00BF6E94">
        <w:rPr>
          <w:rFonts w:ascii="Calibri" w:eastAsiaTheme="majorEastAsia" w:hAnsi="Calibri" w:cs="Calibri"/>
          <w:color w:val="1560A0"/>
          <w:lang w:val="en-US"/>
        </w:rPr>
        <w:t>SoR</w:t>
      </w:r>
      <w:proofErr w:type="spellEnd"/>
      <w:r w:rsidRPr="00BF6E94">
        <w:rPr>
          <w:rFonts w:ascii="Calibri" w:eastAsiaTheme="majorEastAsia" w:hAnsi="Calibri" w:cs="Calibri"/>
          <w:color w:val="1560A0"/>
          <w:lang w:val="en-US"/>
        </w:rPr>
        <w:t xml:space="preserve"> via a voluntary pilot study which will be established to measure the impact of the framework.</w:t>
      </w:r>
    </w:p>
    <w:p w14:paraId="07FEBF0A" w14:textId="77777777" w:rsidR="00BF6E94" w:rsidRPr="00BF6E94" w:rsidRDefault="00BF6E94" w:rsidP="00BF6E94">
      <w:pPr>
        <w:rPr>
          <w:rFonts w:ascii="Calibri" w:hAnsi="Calibri" w:cs="Calibri"/>
          <w:color w:val="1560A0"/>
          <w:lang w:val="en-US"/>
        </w:rPr>
      </w:pPr>
    </w:p>
    <w:p w14:paraId="1D9ADB9F" w14:textId="05DC378B" w:rsidR="00290BBB" w:rsidRDefault="00BF6E94" w:rsidP="00BF6E94">
      <w:pPr>
        <w:rPr>
          <w:rStyle w:val="Heading3Char"/>
          <w:rFonts w:ascii="Calibri" w:hAnsi="Calibri" w:cs="Calibri"/>
          <w:i/>
          <w:iCs/>
          <w:color w:val="1560A0"/>
          <w:sz w:val="24"/>
          <w:szCs w:val="24"/>
          <w:lang w:val="en-US"/>
        </w:rPr>
      </w:pPr>
      <w:r w:rsidRPr="00BF6E94">
        <w:rPr>
          <w:rStyle w:val="Heading3Char"/>
          <w:rFonts w:ascii="Calibri" w:hAnsi="Calibri" w:cs="Calibri"/>
          <w:color w:val="1560A0"/>
          <w:sz w:val="24"/>
          <w:szCs w:val="24"/>
          <w:lang w:val="en-US"/>
        </w:rPr>
        <w:t xml:space="preserve">The background and supporting information behind the development of the </w:t>
      </w:r>
      <w:proofErr w:type="gramStart"/>
      <w:r w:rsidRPr="00BF6E94">
        <w:rPr>
          <w:rStyle w:val="Heading3Char"/>
          <w:rFonts w:ascii="Calibri" w:hAnsi="Calibri" w:cs="Calibri"/>
          <w:color w:val="1560A0"/>
          <w:sz w:val="24"/>
          <w:szCs w:val="24"/>
          <w:lang w:val="en-US"/>
        </w:rPr>
        <w:t>competencies</w:t>
      </w:r>
      <w:proofErr w:type="gramEnd"/>
      <w:r w:rsidRPr="00BF6E94">
        <w:rPr>
          <w:rStyle w:val="Heading3Char"/>
          <w:rFonts w:ascii="Calibri" w:hAnsi="Calibri" w:cs="Calibri"/>
          <w:color w:val="1560A0"/>
          <w:sz w:val="24"/>
          <w:szCs w:val="24"/>
          <w:lang w:val="en-US"/>
        </w:rPr>
        <w:t xml:space="preserve"> framework is available in the publication </w:t>
      </w:r>
      <w:hyperlink r:id="rId10" w:history="1">
        <w:r w:rsidRPr="0018753F">
          <w:rPr>
            <w:rStyle w:val="Hyperlink"/>
            <w:rFonts w:ascii="Calibri" w:eastAsiaTheme="majorEastAsia" w:hAnsi="Calibri" w:cs="Calibri"/>
            <w:b/>
            <w:bCs/>
            <w:i/>
            <w:iCs/>
            <w:lang w:val="en-US"/>
          </w:rPr>
          <w:t>Explanatory guidance;</w:t>
        </w:r>
        <w:r w:rsidRPr="0018753F">
          <w:rPr>
            <w:rStyle w:val="Hyperlink"/>
            <w:rFonts w:ascii="Calibri" w:eastAsiaTheme="majorEastAsia" w:hAnsi="Calibri" w:cs="Calibri"/>
            <w:b/>
            <w:bCs/>
            <w:lang w:val="en-US"/>
          </w:rPr>
          <w:t xml:space="preserve"> </w:t>
        </w:r>
        <w:r w:rsidRPr="0018753F">
          <w:rPr>
            <w:rStyle w:val="Hyperlink"/>
            <w:rFonts w:ascii="Calibri" w:eastAsiaTheme="majorEastAsia" w:hAnsi="Calibri" w:cs="Calibri"/>
            <w:b/>
            <w:bCs/>
            <w:i/>
            <w:iCs/>
            <w:lang w:val="en-US"/>
          </w:rPr>
          <w:t>Using the national practitioner-level competencies framework for radiographers working in CT practice in the UK</w:t>
        </w:r>
        <w:r w:rsidRPr="0018753F">
          <w:rPr>
            <w:rStyle w:val="Hyperlink"/>
            <w:rFonts w:ascii="Calibri" w:eastAsiaTheme="majorEastAsia" w:hAnsi="Calibri" w:cs="Calibri"/>
            <w:i/>
            <w:iCs/>
            <w:lang w:val="en-US"/>
          </w:rPr>
          <w:t>.</w:t>
        </w:r>
      </w:hyperlink>
    </w:p>
    <w:p w14:paraId="4348A0D8" w14:textId="77777777" w:rsidR="00BF6E94" w:rsidRDefault="00BF6E94" w:rsidP="00BF6E94">
      <w:pPr>
        <w:rPr>
          <w:rStyle w:val="Heading3Char"/>
          <w:rFonts w:ascii="Calibri" w:hAnsi="Calibri" w:cs="Calibri"/>
          <w:i/>
          <w:iCs/>
          <w:color w:val="1560A0"/>
          <w:sz w:val="24"/>
          <w:szCs w:val="24"/>
          <w:lang w:val="en-US"/>
        </w:rPr>
      </w:pPr>
    </w:p>
    <w:p w14:paraId="03DBD64A" w14:textId="77777777" w:rsidR="00BF6E94" w:rsidRDefault="00BF6E94" w:rsidP="00BF6E94">
      <w:pPr>
        <w:rPr>
          <w:rStyle w:val="Heading3Char"/>
          <w:rFonts w:ascii="Calibri" w:hAnsi="Calibri" w:cs="Calibri"/>
          <w:i/>
          <w:iCs/>
          <w:color w:val="1560A0"/>
          <w:sz w:val="24"/>
          <w:szCs w:val="24"/>
          <w:lang w:val="en-US"/>
        </w:rPr>
      </w:pPr>
    </w:p>
    <w:p w14:paraId="2AB470B2" w14:textId="5C601C78" w:rsidR="00BF6E94" w:rsidRDefault="00BF6E94" w:rsidP="0018753F">
      <w:pPr>
        <w:pStyle w:val="Heading2"/>
        <w:rPr>
          <w:rFonts w:ascii="Calibri" w:hAnsi="Calibri" w:cs="Calibri"/>
          <w:b/>
          <w:bCs/>
          <w:color w:val="1560A0"/>
          <w:sz w:val="40"/>
          <w:szCs w:val="40"/>
        </w:rPr>
      </w:pPr>
      <w:r w:rsidRPr="00BF6E94">
        <w:rPr>
          <w:rFonts w:ascii="Calibri" w:hAnsi="Calibri" w:cs="Calibri"/>
          <w:b/>
          <w:bCs/>
          <w:color w:val="1560A0"/>
          <w:sz w:val="40"/>
          <w:szCs w:val="40"/>
        </w:rPr>
        <w:t>How to use the framework</w:t>
      </w:r>
    </w:p>
    <w:p w14:paraId="4F7B4774" w14:textId="77777777" w:rsidR="0018753F" w:rsidRPr="0018753F" w:rsidRDefault="0018753F" w:rsidP="0018753F">
      <w:pPr>
        <w:rPr>
          <w:sz w:val="15"/>
          <w:szCs w:val="15"/>
        </w:rPr>
      </w:pPr>
    </w:p>
    <w:p w14:paraId="675417C8"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For each competency domain, e.g. Radiographic knowledge, the competency statement describes what the individual is expected to be able to do and the knowledge, skills and attributes they are expected to demonstrate. </w:t>
      </w:r>
    </w:p>
    <w:p w14:paraId="20213990" w14:textId="77777777" w:rsidR="00BF6E94" w:rsidRPr="00BF6E94" w:rsidRDefault="00BF6E94" w:rsidP="00BF6E94">
      <w:pPr>
        <w:pStyle w:val="ListParagraph"/>
        <w:rPr>
          <w:rFonts w:ascii="Calibri" w:eastAsiaTheme="majorEastAsia" w:hAnsi="Calibri" w:cs="Calibri"/>
          <w:color w:val="1560A0"/>
          <w:lang w:val="en-US"/>
        </w:rPr>
      </w:pPr>
    </w:p>
    <w:p w14:paraId="35A9FDFD"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The outcome measure indicates whether the individual has met those expectations. The supporting evidence is used alongside the outcome measure to verify competence. Outcome measures should be assessed using locally agreed methods undertaken by adequately trained staff. Anyone working in CT as an autonomous practitioner (i.e. not a trainee) should, as a minimum, meet the outcome measures relevant to their role.  </w:t>
      </w:r>
    </w:p>
    <w:p w14:paraId="5581A0FC" w14:textId="77777777" w:rsidR="00BF6E94" w:rsidRPr="00BF6E94" w:rsidRDefault="00BF6E94" w:rsidP="00BF6E94">
      <w:pPr>
        <w:pStyle w:val="ListParagraph"/>
        <w:rPr>
          <w:rFonts w:ascii="Calibri" w:eastAsiaTheme="majorEastAsia" w:hAnsi="Calibri" w:cs="Calibri"/>
          <w:color w:val="1560A0"/>
          <w:lang w:val="en-US"/>
        </w:rPr>
      </w:pPr>
    </w:p>
    <w:p w14:paraId="6909C7B9"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Employers must be satisfied that the individual can perform within each competency domain to the standard expected. It is the individual’s and the employer’s responsibility to ensure a person’s competence is appropriate for the role they undertake. </w:t>
      </w:r>
    </w:p>
    <w:p w14:paraId="373FFECA" w14:textId="77777777" w:rsidR="00BF6E94" w:rsidRPr="00BF6E94" w:rsidRDefault="00BF6E94" w:rsidP="00BF6E94">
      <w:pPr>
        <w:pStyle w:val="ListParagraph"/>
        <w:rPr>
          <w:rFonts w:ascii="Calibri" w:eastAsiaTheme="majorEastAsia" w:hAnsi="Calibri" w:cs="Calibri"/>
          <w:color w:val="1560A0"/>
          <w:lang w:val="en-US"/>
        </w:rPr>
      </w:pPr>
    </w:p>
    <w:p w14:paraId="2D1E6B84"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Employers and assessors should ensure adequate evidence of theoretical knowledge and practical experience is recorded prior to an individual being assessed as competent. </w:t>
      </w:r>
    </w:p>
    <w:p w14:paraId="030F8285" w14:textId="77777777" w:rsidR="00BF6E94" w:rsidRPr="00BF6E94" w:rsidRDefault="00BF6E94" w:rsidP="00BF6E94">
      <w:pPr>
        <w:pStyle w:val="ListParagraph"/>
        <w:rPr>
          <w:rFonts w:ascii="Calibri" w:eastAsiaTheme="majorEastAsia" w:hAnsi="Calibri" w:cs="Calibri"/>
          <w:color w:val="1560A0"/>
          <w:lang w:val="en-US"/>
        </w:rPr>
      </w:pPr>
    </w:p>
    <w:p w14:paraId="050EDA73"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Examples of the types of evidence that might support assessments are suggested in the ‘Radiographic knowledge’ domain, but these can be applied across all domains. </w:t>
      </w:r>
      <w:r w:rsidRPr="00BF6E94">
        <w:rPr>
          <w:rFonts w:ascii="Calibri" w:eastAsiaTheme="majorEastAsia" w:hAnsi="Calibri" w:cs="Calibri"/>
          <w:color w:val="1560A0"/>
          <w:lang w:val="en-US"/>
        </w:rPr>
        <w:lastRenderedPageBreak/>
        <w:t>Key performance indicators could also be used as evidence. Examples are intended for illustration only. Employers should clearly define what constitutes sufficient proof that the person has been adequately trained.</w:t>
      </w:r>
    </w:p>
    <w:p w14:paraId="25DF0EC0" w14:textId="77777777" w:rsidR="00BF6E94" w:rsidRPr="00BF6E94" w:rsidRDefault="00BF6E94" w:rsidP="00BF6E94">
      <w:pPr>
        <w:pStyle w:val="ListParagraph"/>
        <w:rPr>
          <w:rFonts w:ascii="Calibri" w:eastAsiaTheme="majorEastAsia" w:hAnsi="Calibri" w:cs="Calibri"/>
          <w:color w:val="1560A0"/>
          <w:lang w:val="en-US"/>
        </w:rPr>
      </w:pPr>
    </w:p>
    <w:p w14:paraId="7945A339"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Documented evidence should support and reflect direct observation, assessment and case-based discussions. </w:t>
      </w:r>
    </w:p>
    <w:p w14:paraId="7F93C534" w14:textId="77777777" w:rsidR="00BF6E94" w:rsidRPr="00BF6E94" w:rsidRDefault="00BF6E94" w:rsidP="00BF6E94">
      <w:pPr>
        <w:pStyle w:val="ListParagraph"/>
        <w:rPr>
          <w:rFonts w:ascii="Calibri" w:eastAsiaTheme="majorEastAsia" w:hAnsi="Calibri" w:cs="Calibri"/>
          <w:color w:val="1560A0"/>
          <w:lang w:val="en-US"/>
        </w:rPr>
      </w:pPr>
    </w:p>
    <w:p w14:paraId="630153B3"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Evidence should be appropriate to the responsibilities, skills and knowledge relevant to the role as well as the individual’s formal professional and educational achievements across the four pillars of radiographic practice. </w:t>
      </w:r>
    </w:p>
    <w:p w14:paraId="44F4E4F3" w14:textId="77777777" w:rsidR="00BF6E94" w:rsidRPr="00BF6E94" w:rsidRDefault="00BF6E94" w:rsidP="00BF6E94">
      <w:pPr>
        <w:pStyle w:val="ListParagraph"/>
        <w:rPr>
          <w:rFonts w:ascii="Calibri" w:eastAsiaTheme="majorEastAsia" w:hAnsi="Calibri" w:cs="Calibri"/>
          <w:color w:val="1560A0"/>
          <w:lang w:val="en-US"/>
        </w:rPr>
      </w:pPr>
    </w:p>
    <w:p w14:paraId="02001FD7"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Assessors should be appropriately trained and act fairly, impartially and without bias, discrimination or prejudice. Employers should consider how they assess and document the competence of assessors working in CT.  </w:t>
      </w:r>
    </w:p>
    <w:p w14:paraId="59D21B40" w14:textId="77777777" w:rsidR="00BF6E94" w:rsidRPr="00BF6E94" w:rsidRDefault="00BF6E94" w:rsidP="00BF6E94">
      <w:pPr>
        <w:pStyle w:val="ListParagraph"/>
        <w:rPr>
          <w:rFonts w:ascii="Calibri" w:eastAsiaTheme="majorEastAsia" w:hAnsi="Calibri" w:cs="Calibri"/>
          <w:color w:val="1560A0"/>
          <w:lang w:val="en-US"/>
        </w:rPr>
      </w:pPr>
    </w:p>
    <w:p w14:paraId="6C6C3D2B"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For larger services, a virtually run competency panel could be developed to support on-site technical assessments. The panel should consist of appropriately trained, educated and experienced CT radiographers, medical physics experts, and practice educators. A panel offers a practical solution to busy departments with a high turnover of staff or small or geographically isolated services with fewer appropriately trained staff. Assessment could be integrated into a local preceptorship </w:t>
      </w:r>
      <w:proofErr w:type="spellStart"/>
      <w:r w:rsidRPr="00BF6E94">
        <w:rPr>
          <w:rFonts w:ascii="Calibri" w:eastAsiaTheme="majorEastAsia" w:hAnsi="Calibri" w:cs="Calibri"/>
          <w:color w:val="1560A0"/>
          <w:lang w:val="en-US"/>
        </w:rPr>
        <w:t>programme</w:t>
      </w:r>
      <w:proofErr w:type="spellEnd"/>
      <w:r w:rsidRPr="00BF6E94">
        <w:rPr>
          <w:rFonts w:ascii="Calibri" w:eastAsiaTheme="majorEastAsia" w:hAnsi="Calibri" w:cs="Calibri"/>
          <w:color w:val="1560A0"/>
          <w:lang w:val="en-US"/>
        </w:rPr>
        <w:t xml:space="preserve">. </w:t>
      </w:r>
    </w:p>
    <w:p w14:paraId="0F738014" w14:textId="77777777" w:rsidR="00BF6E94" w:rsidRPr="00BF6E94" w:rsidRDefault="00BF6E94" w:rsidP="00BF6E94">
      <w:pPr>
        <w:pStyle w:val="ListParagraph"/>
        <w:rPr>
          <w:rFonts w:ascii="Calibri" w:eastAsiaTheme="majorEastAsia" w:hAnsi="Calibri" w:cs="Calibri"/>
          <w:color w:val="1560A0"/>
          <w:lang w:val="en-US"/>
        </w:rPr>
      </w:pPr>
    </w:p>
    <w:p w14:paraId="5D05307E" w14:textId="77777777" w:rsidR="00BF6E94" w:rsidRP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It is important to note that while capabilities are often transferrable between employers, technical skills require re-assessment to meet the requirements of IR(ME)R. An individual could therefore provide their competency record to a new employer as evidence that they meet a standard for the practice level required but should expect to undertake additional training and assessment on any new or unfamiliar equipment. </w:t>
      </w:r>
    </w:p>
    <w:p w14:paraId="2B223894" w14:textId="77777777" w:rsidR="00BF6E94" w:rsidRPr="00BF6E94" w:rsidRDefault="00BF6E94" w:rsidP="00BF6E94">
      <w:pPr>
        <w:pStyle w:val="ListParagraph"/>
        <w:rPr>
          <w:rFonts w:ascii="Calibri" w:eastAsiaTheme="majorEastAsia" w:hAnsi="Calibri" w:cs="Calibri"/>
          <w:color w:val="1560A0"/>
          <w:lang w:val="en-US"/>
        </w:rPr>
      </w:pPr>
    </w:p>
    <w:p w14:paraId="5AE14155" w14:textId="77777777" w:rsidR="00BF6E94" w:rsidRDefault="00BF6E94" w:rsidP="00BF6E94">
      <w:pPr>
        <w:pStyle w:val="ListParagraph"/>
        <w:numPr>
          <w:ilvl w:val="0"/>
          <w:numId w:val="2"/>
        </w:numPr>
        <w:spacing w:after="160" w:line="259" w:lineRule="auto"/>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Individuals should be supported to attain all outcome measures before being expected to undertake the full range of responsibilities of the practitioner role in CT. Where an individual is unable to demonstrate the required competencies to work in the CT environment despite appropriate training and reasonable support, local policies should facilitate more appropriate use of their skills. When things go wrong, reflection by practitioners at all levels should be fundamental to the practice of radiographers. A robust learning and service-improvement process should be mandated by the employer. </w:t>
      </w:r>
    </w:p>
    <w:p w14:paraId="57A686F8" w14:textId="77777777" w:rsidR="00BF6E94" w:rsidRPr="00BF6E94" w:rsidRDefault="00BF6E94" w:rsidP="00BF6E94">
      <w:pPr>
        <w:spacing w:after="160" w:line="259" w:lineRule="auto"/>
        <w:ind w:left="360"/>
        <w:rPr>
          <w:rFonts w:ascii="Calibri" w:eastAsiaTheme="majorEastAsia" w:hAnsi="Calibri" w:cs="Calibri"/>
          <w:color w:val="1560A0"/>
          <w:lang w:val="en-US"/>
        </w:rPr>
      </w:pPr>
    </w:p>
    <w:p w14:paraId="77A6FA72" w14:textId="77777777" w:rsidR="00BF6E94" w:rsidRDefault="00BF6E94" w:rsidP="00BF6E94">
      <w:pPr>
        <w:rPr>
          <w:rFonts w:eastAsiaTheme="majorEastAsia" w:cstheme="majorBidi"/>
          <w:color w:val="0F4761" w:themeColor="accent1" w:themeShade="BF"/>
          <w:sz w:val="28"/>
          <w:szCs w:val="28"/>
          <w:lang w:val="en-US"/>
        </w:rPr>
      </w:pPr>
    </w:p>
    <w:p w14:paraId="08305EFC" w14:textId="776BA50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The Society of Radiographers recommends use of the National incident learning system for clinical imaging, MRI and nuclear medicine</w:t>
      </w:r>
      <w:r w:rsidRPr="00BF6E94">
        <w:rPr>
          <w:rFonts w:ascii="Calibri" w:eastAsiaTheme="majorEastAsia" w:hAnsi="Calibri" w:cs="Calibri"/>
          <w:color w:val="1560A0"/>
          <w:vertAlign w:val="superscript"/>
          <w:lang w:val="en-US"/>
        </w:rPr>
        <w:t>7</w:t>
      </w:r>
      <w:r w:rsidRPr="00BF6E94">
        <w:rPr>
          <w:rFonts w:ascii="Calibri" w:eastAsiaTheme="majorEastAsia" w:hAnsi="Calibri" w:cs="Calibri"/>
          <w:color w:val="1560A0"/>
          <w:lang w:val="en-US"/>
        </w:rPr>
        <w:t xml:space="preserve"> to ensure a systems-based approach to learning from </w:t>
      </w:r>
      <w:proofErr w:type="spellStart"/>
      <w:r w:rsidRPr="00BF6E94">
        <w:rPr>
          <w:rFonts w:ascii="Calibri" w:eastAsiaTheme="majorEastAsia" w:hAnsi="Calibri" w:cs="Calibri"/>
          <w:color w:val="1560A0"/>
          <w:lang w:val="en-US"/>
        </w:rPr>
        <w:t>ionising</w:t>
      </w:r>
      <w:proofErr w:type="spellEnd"/>
      <w:r w:rsidRPr="00BF6E94">
        <w:rPr>
          <w:rFonts w:ascii="Calibri" w:eastAsiaTheme="majorEastAsia" w:hAnsi="Calibri" w:cs="Calibri"/>
          <w:color w:val="1560A0"/>
          <w:lang w:val="en-US"/>
        </w:rPr>
        <w:t xml:space="preserve"> radiation incidents and near misses/good catches. </w:t>
      </w:r>
    </w:p>
    <w:p w14:paraId="0F32EC32" w14:textId="77777777" w:rsidR="00BF6E94" w:rsidRDefault="00BF6E94" w:rsidP="00BF6E94">
      <w:pPr>
        <w:rPr>
          <w:rFonts w:ascii="Calibri" w:eastAsiaTheme="majorEastAsia" w:hAnsi="Calibri" w:cs="Calibri"/>
          <w:color w:val="1560A0"/>
          <w:lang w:val="en-US"/>
        </w:rPr>
      </w:pPr>
    </w:p>
    <w:p w14:paraId="6F7A8BE5" w14:textId="77777777" w:rsidR="0018753F" w:rsidRDefault="00BF6E94" w:rsidP="0018753F">
      <w:pPr>
        <w:pStyle w:val="Heading2"/>
        <w:rPr>
          <w:rFonts w:ascii="Calibri" w:hAnsi="Calibri" w:cs="Calibri"/>
          <w:b/>
          <w:bCs/>
          <w:color w:val="1560A0"/>
          <w:sz w:val="40"/>
          <w:szCs w:val="40"/>
        </w:rPr>
      </w:pPr>
      <w:r w:rsidRPr="00BF6E94">
        <w:rPr>
          <w:rFonts w:ascii="Calibri" w:hAnsi="Calibri" w:cs="Calibri"/>
          <w:b/>
          <w:bCs/>
          <w:color w:val="1560A0"/>
          <w:sz w:val="40"/>
          <w:szCs w:val="40"/>
        </w:rPr>
        <w:lastRenderedPageBreak/>
        <w:t>What is not covered by the framework</w:t>
      </w:r>
    </w:p>
    <w:p w14:paraId="2DD34543" w14:textId="1F67E2F5" w:rsidR="00BF6E94" w:rsidRPr="0018753F" w:rsidRDefault="00BF6E94" w:rsidP="0018753F">
      <w:pPr>
        <w:pStyle w:val="Heading2"/>
        <w:rPr>
          <w:rFonts w:ascii="Calibri" w:hAnsi="Calibri" w:cs="Calibri"/>
          <w:b/>
          <w:bCs/>
          <w:color w:val="1560A0"/>
          <w:sz w:val="40"/>
          <w:szCs w:val="40"/>
        </w:rPr>
      </w:pPr>
      <w:r w:rsidRPr="00BF6E94">
        <w:rPr>
          <w:rFonts w:ascii="Calibri" w:hAnsi="Calibri" w:cs="Calibri"/>
          <w:color w:val="1560A0"/>
          <w:sz w:val="24"/>
          <w:szCs w:val="24"/>
          <w:lang w:val="en-US"/>
        </w:rPr>
        <w:t>While the framework is not specifically designed to represent the competencies required for therapeutic radiographers working in radiotherapy pretreatment or for radiographers and nuclear medicine technologists operating CT scanners, they should be expected, as a minimum, to meet the outcome measures relevant to their roles and responsibilities. It can be adapted to meet any additional outcome measures expected in those areas of practice.</w:t>
      </w:r>
    </w:p>
    <w:p w14:paraId="7FC96E3C" w14:textId="77777777" w:rsidR="00BF6E94" w:rsidRPr="00BF6E94" w:rsidRDefault="00BF6E94" w:rsidP="00BF6E94">
      <w:pPr>
        <w:rPr>
          <w:rFonts w:ascii="Calibri" w:eastAsiaTheme="majorEastAsia" w:hAnsi="Calibri" w:cs="Calibri"/>
          <w:color w:val="1560A0"/>
          <w:lang w:val="en-US"/>
        </w:rPr>
      </w:pPr>
    </w:p>
    <w:p w14:paraId="1D14F87A" w14:textId="7777777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It does not include the training, education, competencies or governance required for the radiographic support and assistant workforce. </w:t>
      </w:r>
      <w:hyperlink r:id="rId11" w:history="1">
        <w:r w:rsidRPr="00BF6E94">
          <w:rPr>
            <w:rFonts w:ascii="Calibri" w:eastAsiaTheme="majorEastAsia" w:hAnsi="Calibri" w:cs="Calibri"/>
            <w:i/>
            <w:iCs/>
            <w:color w:val="1560A0"/>
            <w:lang w:val="en-US"/>
          </w:rPr>
          <w:t>The Radiography Support and Assistant Workforce: regulatory compliance, governance arrangements, supervision and delegation</w:t>
        </w:r>
      </w:hyperlink>
      <w:r w:rsidRPr="00BF6E94">
        <w:rPr>
          <w:rFonts w:ascii="Calibri" w:eastAsiaTheme="majorEastAsia" w:hAnsi="Calibri" w:cs="Calibri"/>
          <w:color w:val="1560A0"/>
          <w:vertAlign w:val="superscript"/>
          <w:lang w:val="en-US"/>
        </w:rPr>
        <w:t>8</w:t>
      </w:r>
      <w:r w:rsidRPr="00BF6E94">
        <w:rPr>
          <w:rFonts w:ascii="Calibri" w:eastAsiaTheme="majorEastAsia" w:hAnsi="Calibri" w:cs="Calibri"/>
          <w:color w:val="1560A0"/>
          <w:lang w:val="en-US"/>
        </w:rPr>
        <w:t xml:space="preserve"> and </w:t>
      </w:r>
      <w:hyperlink r:id="rId12" w:history="1">
        <w:r w:rsidRPr="00BF6E94">
          <w:rPr>
            <w:rFonts w:ascii="Calibri" w:eastAsiaTheme="majorEastAsia" w:hAnsi="Calibri" w:cs="Calibri"/>
            <w:i/>
            <w:iCs/>
            <w:color w:val="1560A0"/>
            <w:lang w:val="en-US"/>
          </w:rPr>
          <w:t>Allied Health Professions’ Support Worker Competency, Education, and Career Development Framework</w:t>
        </w:r>
      </w:hyperlink>
      <w:r w:rsidRPr="00BF6E94">
        <w:rPr>
          <w:rFonts w:ascii="Calibri" w:eastAsiaTheme="majorEastAsia" w:hAnsi="Calibri" w:cs="Calibri"/>
          <w:color w:val="1560A0"/>
          <w:vertAlign w:val="superscript"/>
          <w:lang w:val="en-US"/>
        </w:rPr>
        <w:t>9</w:t>
      </w:r>
      <w:r w:rsidRPr="00BF6E94">
        <w:rPr>
          <w:rFonts w:ascii="Calibri" w:hAnsi="Calibri" w:cs="Calibri"/>
          <w:color w:val="1560A0"/>
        </w:rPr>
        <w:t xml:space="preserve"> </w:t>
      </w:r>
      <w:r w:rsidRPr="00BF6E94">
        <w:rPr>
          <w:rFonts w:ascii="Calibri" w:eastAsiaTheme="majorEastAsia" w:hAnsi="Calibri" w:cs="Calibri"/>
          <w:color w:val="1560A0"/>
          <w:lang w:val="en-US"/>
        </w:rPr>
        <w:t xml:space="preserve">provide guidance for the safe and effective employment of support and assistant staff.  </w:t>
      </w:r>
    </w:p>
    <w:p w14:paraId="46F40AB9" w14:textId="77777777" w:rsidR="00BF6E94" w:rsidRPr="00BF6E94" w:rsidRDefault="00BF6E94" w:rsidP="00BF6E94">
      <w:pPr>
        <w:rPr>
          <w:rFonts w:ascii="Calibri" w:eastAsiaTheme="majorEastAsia" w:hAnsi="Calibri" w:cs="Calibri"/>
          <w:color w:val="1560A0"/>
          <w:lang w:val="en-US"/>
        </w:rPr>
      </w:pPr>
    </w:p>
    <w:p w14:paraId="488D31B1" w14:textId="7777777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Other CT operators such as medical physics experts and radiologists are likely to have a more limited scope of entitlement as CT operators, but they may find the framework helpful as a guide to develop their own training and education record. </w:t>
      </w:r>
    </w:p>
    <w:p w14:paraId="466AD21C" w14:textId="77777777" w:rsidR="00BF6E94" w:rsidRDefault="00BF6E94" w:rsidP="00BF6E94">
      <w:pPr>
        <w:rPr>
          <w:rFonts w:ascii="Calibri" w:eastAsiaTheme="majorEastAsia" w:hAnsi="Calibri" w:cs="Calibri"/>
          <w:color w:val="1560A0"/>
          <w:lang w:val="en-US"/>
        </w:rPr>
      </w:pPr>
    </w:p>
    <w:p w14:paraId="23724323" w14:textId="77777777" w:rsidR="0018753F" w:rsidRDefault="00BF6E94" w:rsidP="0018753F">
      <w:pPr>
        <w:pStyle w:val="Heading2"/>
        <w:rPr>
          <w:rFonts w:ascii="Calibri" w:hAnsi="Calibri" w:cs="Calibri"/>
          <w:b/>
          <w:bCs/>
          <w:color w:val="1560A0"/>
          <w:sz w:val="40"/>
          <w:szCs w:val="40"/>
        </w:rPr>
      </w:pPr>
      <w:r w:rsidRPr="00BF6E94">
        <w:rPr>
          <w:rFonts w:ascii="Calibri" w:hAnsi="Calibri" w:cs="Calibri"/>
          <w:b/>
          <w:bCs/>
          <w:color w:val="1560A0"/>
          <w:sz w:val="40"/>
          <w:szCs w:val="40"/>
        </w:rPr>
        <w:t>Assessment of impact</w:t>
      </w:r>
    </w:p>
    <w:p w14:paraId="7BCD723C" w14:textId="371B0A98" w:rsidR="00BF6E94" w:rsidRPr="0018753F" w:rsidRDefault="00BF6E94" w:rsidP="0018753F">
      <w:pPr>
        <w:pStyle w:val="Heading2"/>
        <w:rPr>
          <w:rFonts w:ascii="Calibri" w:hAnsi="Calibri" w:cs="Calibri"/>
          <w:b/>
          <w:bCs/>
          <w:color w:val="1560A0"/>
          <w:sz w:val="40"/>
          <w:szCs w:val="40"/>
        </w:rPr>
      </w:pPr>
      <w:r w:rsidRPr="00BF6E94">
        <w:rPr>
          <w:rFonts w:ascii="Calibri" w:hAnsi="Calibri" w:cs="Calibri"/>
          <w:color w:val="1560A0"/>
          <w:sz w:val="24"/>
          <w:szCs w:val="24"/>
          <w:lang w:val="en-US"/>
        </w:rPr>
        <w:t xml:space="preserve">The </w:t>
      </w:r>
      <w:proofErr w:type="spellStart"/>
      <w:r w:rsidRPr="00BF6E94">
        <w:rPr>
          <w:rFonts w:ascii="Calibri" w:hAnsi="Calibri" w:cs="Calibri"/>
          <w:color w:val="1560A0"/>
          <w:sz w:val="24"/>
          <w:szCs w:val="24"/>
          <w:lang w:val="en-US"/>
        </w:rPr>
        <w:t>SoR</w:t>
      </w:r>
      <w:proofErr w:type="spellEnd"/>
      <w:r w:rsidRPr="00BF6E94">
        <w:rPr>
          <w:rFonts w:ascii="Calibri" w:hAnsi="Calibri" w:cs="Calibri"/>
          <w:color w:val="1560A0"/>
          <w:sz w:val="24"/>
          <w:szCs w:val="24"/>
          <w:lang w:val="en-US"/>
        </w:rPr>
        <w:t xml:space="preserve"> believes that assessing the impact of professional guidance is key to the ongoing provision of relevant and dynamic support for the radiographic workforce.</w:t>
      </w:r>
    </w:p>
    <w:p w14:paraId="13A46E4C" w14:textId="77777777" w:rsidR="00BF6E94" w:rsidRPr="00BF6E94" w:rsidRDefault="00BF6E94" w:rsidP="00BF6E94">
      <w:pPr>
        <w:pStyle w:val="Heading3"/>
        <w:rPr>
          <w:rFonts w:ascii="Calibri" w:hAnsi="Calibri" w:cs="Calibri"/>
          <w:color w:val="1560A0"/>
          <w:sz w:val="24"/>
          <w:szCs w:val="24"/>
          <w:lang w:val="en-US"/>
        </w:rPr>
      </w:pPr>
      <w:r w:rsidRPr="00BF6E94">
        <w:rPr>
          <w:rFonts w:ascii="Calibri" w:hAnsi="Calibri" w:cs="Calibri"/>
          <w:color w:val="1560A0"/>
          <w:sz w:val="24"/>
          <w:szCs w:val="24"/>
          <w:lang w:val="en-US"/>
        </w:rPr>
        <w:t xml:space="preserve">The competencies framework provides an assessment tool which should be used alongside the </w:t>
      </w:r>
      <w:r w:rsidRPr="00BF6E94">
        <w:rPr>
          <w:rFonts w:ascii="Calibri" w:hAnsi="Calibri" w:cs="Calibri"/>
          <w:i/>
          <w:iCs/>
          <w:color w:val="1560A0"/>
          <w:sz w:val="24"/>
          <w:szCs w:val="24"/>
          <w:lang w:val="en-US"/>
        </w:rPr>
        <w:t>ECF</w:t>
      </w:r>
      <w:r w:rsidRPr="00BF6E94">
        <w:rPr>
          <w:rFonts w:ascii="Calibri" w:hAnsi="Calibri" w:cs="Calibri"/>
          <w:color w:val="1560A0"/>
          <w:sz w:val="24"/>
          <w:szCs w:val="24"/>
          <w:vertAlign w:val="superscript"/>
          <w:lang w:val="en-US"/>
        </w:rPr>
        <w:t>6</w:t>
      </w:r>
      <w:r w:rsidRPr="00BF6E94">
        <w:rPr>
          <w:rFonts w:ascii="Calibri" w:hAnsi="Calibri" w:cs="Calibri"/>
          <w:color w:val="1560A0"/>
          <w:sz w:val="24"/>
          <w:szCs w:val="24"/>
          <w:lang w:val="en-US"/>
        </w:rPr>
        <w:t xml:space="preserve"> at practitioner level and potentially beyond. </w:t>
      </w:r>
    </w:p>
    <w:p w14:paraId="26280EE3" w14:textId="77777777" w:rsidR="00BF6E94" w:rsidRP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 xml:space="preserve">Pilot sites familiar with the </w:t>
      </w:r>
      <w:r w:rsidRPr="00BF6E94">
        <w:rPr>
          <w:rFonts w:ascii="Calibri" w:eastAsiaTheme="majorEastAsia" w:hAnsi="Calibri" w:cs="Calibri"/>
          <w:i/>
          <w:iCs/>
          <w:color w:val="1560A0"/>
          <w:lang w:val="en-US"/>
        </w:rPr>
        <w:t>ECF</w:t>
      </w:r>
      <w:r w:rsidRPr="00BF6E94">
        <w:rPr>
          <w:rFonts w:ascii="Calibri" w:eastAsiaTheme="majorEastAsia" w:hAnsi="Calibri" w:cs="Calibri"/>
          <w:color w:val="1560A0"/>
          <w:vertAlign w:val="superscript"/>
          <w:lang w:val="en-US"/>
        </w:rPr>
        <w:t>6</w:t>
      </w:r>
      <w:r w:rsidRPr="00BF6E94">
        <w:rPr>
          <w:rFonts w:ascii="Calibri" w:eastAsiaTheme="majorEastAsia" w:hAnsi="Calibri" w:cs="Calibri"/>
          <w:color w:val="1560A0"/>
          <w:lang w:val="en-US"/>
        </w:rPr>
        <w:t xml:space="preserve"> will be invited through </w:t>
      </w:r>
      <w:proofErr w:type="spellStart"/>
      <w:r w:rsidRPr="00BF6E94">
        <w:rPr>
          <w:rFonts w:ascii="Calibri" w:eastAsiaTheme="majorEastAsia" w:hAnsi="Calibri" w:cs="Calibri"/>
          <w:color w:val="1560A0"/>
          <w:lang w:val="en-US"/>
        </w:rPr>
        <w:t>SoR’s</w:t>
      </w:r>
      <w:proofErr w:type="spellEnd"/>
      <w:r w:rsidRPr="00BF6E94">
        <w:rPr>
          <w:rFonts w:ascii="Calibri" w:eastAsiaTheme="majorEastAsia" w:hAnsi="Calibri" w:cs="Calibri"/>
          <w:color w:val="1560A0"/>
          <w:lang w:val="en-US"/>
        </w:rPr>
        <w:t xml:space="preserve"> network of CT Service Leads to work with the Society and College of Radiographers to contribute to the evolution and continuous improvement of the </w:t>
      </w:r>
      <w:proofErr w:type="gramStart"/>
      <w:r w:rsidRPr="00BF6E94">
        <w:rPr>
          <w:rFonts w:ascii="Calibri" w:eastAsiaTheme="majorEastAsia" w:hAnsi="Calibri" w:cs="Calibri"/>
          <w:color w:val="1560A0"/>
          <w:lang w:val="en-US"/>
        </w:rPr>
        <w:t>competencies</w:t>
      </w:r>
      <w:proofErr w:type="gramEnd"/>
      <w:r w:rsidRPr="00BF6E94">
        <w:rPr>
          <w:rFonts w:ascii="Calibri" w:eastAsiaTheme="majorEastAsia" w:hAnsi="Calibri" w:cs="Calibri"/>
          <w:color w:val="1560A0"/>
          <w:lang w:val="en-US"/>
        </w:rPr>
        <w:t xml:space="preserve"> framework. They will influence how the framework is implemented in practice and potentially developed in future to include enhanced, advanced and consultant practice levels in CT. In this way an evaluation of its current and potential impact and effectiveness can be made.  </w:t>
      </w:r>
    </w:p>
    <w:p w14:paraId="2DF9EB45" w14:textId="77777777" w:rsidR="00BF6E94" w:rsidRPr="00BF6E94" w:rsidRDefault="00BF6E94" w:rsidP="00BF6E94">
      <w:pPr>
        <w:rPr>
          <w:rFonts w:ascii="Calibri" w:eastAsiaTheme="majorEastAsia" w:hAnsi="Calibri" w:cs="Calibri"/>
          <w:color w:val="1560A0"/>
          <w:lang w:val="en-US"/>
        </w:rPr>
      </w:pPr>
    </w:p>
    <w:p w14:paraId="69CFD38F" w14:textId="77777777" w:rsidR="00BF6E94" w:rsidRDefault="00BF6E94" w:rsidP="00BF6E94">
      <w:pPr>
        <w:rPr>
          <w:rFonts w:ascii="Calibri" w:eastAsiaTheme="majorEastAsia" w:hAnsi="Calibri" w:cs="Calibri"/>
          <w:color w:val="1560A0"/>
          <w:lang w:val="en-US"/>
        </w:rPr>
      </w:pPr>
      <w:r w:rsidRPr="00BF6E94">
        <w:rPr>
          <w:rFonts w:ascii="Calibri" w:eastAsiaTheme="majorEastAsia" w:hAnsi="Calibri" w:cs="Calibri"/>
          <w:color w:val="1560A0"/>
          <w:lang w:val="en-US"/>
        </w:rPr>
        <w:t>The competencies framework will be reviewed in response to significant professional and technical changes and no later than five years after publication to ensure it continues to meet the needs of our developing workforce and services.</w:t>
      </w:r>
    </w:p>
    <w:p w14:paraId="23026922" w14:textId="77777777" w:rsidR="00BF6E94" w:rsidRDefault="00BF6E94" w:rsidP="00BF6E94">
      <w:pPr>
        <w:rPr>
          <w:rFonts w:ascii="Calibri" w:eastAsiaTheme="majorEastAsia" w:hAnsi="Calibri" w:cs="Calibri"/>
          <w:color w:val="1560A0"/>
          <w:lang w:val="en-US"/>
        </w:rPr>
      </w:pPr>
    </w:p>
    <w:p w14:paraId="432C2C12" w14:textId="77777777" w:rsidR="00BF6E94" w:rsidRDefault="00BF6E94" w:rsidP="00BF6E94">
      <w:pPr>
        <w:rPr>
          <w:rFonts w:ascii="Calibri" w:eastAsiaTheme="majorEastAsia" w:hAnsi="Calibri" w:cs="Calibri"/>
          <w:color w:val="1560A0"/>
          <w:lang w:val="en-US"/>
        </w:rPr>
      </w:pPr>
    </w:p>
    <w:p w14:paraId="0F8294F4" w14:textId="77777777" w:rsidR="00BF6E94" w:rsidRDefault="00BF6E94" w:rsidP="00BF6E94">
      <w:pPr>
        <w:rPr>
          <w:rFonts w:ascii="Calibri" w:eastAsiaTheme="majorEastAsia" w:hAnsi="Calibri" w:cs="Calibri"/>
          <w:color w:val="1560A0"/>
          <w:lang w:val="en-US"/>
        </w:rPr>
      </w:pPr>
    </w:p>
    <w:p w14:paraId="4B9A26ED" w14:textId="77777777" w:rsidR="00BF6E94" w:rsidRDefault="00BF6E94" w:rsidP="00BF6E94">
      <w:pPr>
        <w:rPr>
          <w:rFonts w:ascii="Calibri" w:eastAsiaTheme="majorEastAsia" w:hAnsi="Calibri" w:cs="Calibri"/>
          <w:color w:val="1560A0"/>
          <w:lang w:val="en-US"/>
        </w:rPr>
      </w:pPr>
    </w:p>
    <w:p w14:paraId="02A60A78" w14:textId="77777777" w:rsidR="0018753F" w:rsidRDefault="0018753F" w:rsidP="00BF6E94">
      <w:pPr>
        <w:rPr>
          <w:rFonts w:ascii="Calibri" w:eastAsiaTheme="majorEastAsia" w:hAnsi="Calibri" w:cs="Calibri"/>
          <w:color w:val="1560A0"/>
          <w:lang w:val="en-US"/>
        </w:rPr>
      </w:pPr>
    </w:p>
    <w:p w14:paraId="65B009D8" w14:textId="77777777" w:rsidR="0018753F" w:rsidRDefault="0018753F" w:rsidP="00BF6E94">
      <w:pPr>
        <w:rPr>
          <w:rFonts w:ascii="Calibri" w:eastAsiaTheme="majorEastAsia" w:hAnsi="Calibri" w:cs="Calibri"/>
          <w:color w:val="1560A0"/>
          <w:lang w:val="en-US"/>
        </w:rPr>
      </w:pPr>
    </w:p>
    <w:p w14:paraId="3608BE83" w14:textId="77777777" w:rsidR="0018753F" w:rsidRDefault="0018753F" w:rsidP="00BF6E94">
      <w:pPr>
        <w:rPr>
          <w:rFonts w:ascii="Calibri" w:eastAsiaTheme="majorEastAsia" w:hAnsi="Calibri" w:cs="Calibri"/>
          <w:color w:val="1560A0"/>
          <w:lang w:val="en-US"/>
        </w:rPr>
      </w:pPr>
    </w:p>
    <w:p w14:paraId="729A0D1E" w14:textId="77777777" w:rsidR="0018753F" w:rsidRPr="00BF6E94" w:rsidRDefault="0018753F" w:rsidP="00BF6E94">
      <w:pPr>
        <w:rPr>
          <w:rFonts w:ascii="Calibri" w:eastAsiaTheme="majorEastAsia" w:hAnsi="Calibri" w:cs="Calibri"/>
          <w:color w:val="1560A0"/>
          <w:lang w:val="en-US"/>
        </w:rPr>
      </w:pPr>
    </w:p>
    <w:p w14:paraId="59E75B9A" w14:textId="77777777" w:rsidR="00BF6E94" w:rsidRDefault="00BF6E94" w:rsidP="00BF6E94">
      <w:pPr>
        <w:pStyle w:val="Heading2"/>
        <w:rPr>
          <w:rFonts w:ascii="Calibri" w:hAnsi="Calibri" w:cs="Calibri"/>
          <w:b/>
          <w:bCs/>
          <w:color w:val="1560A0"/>
          <w:sz w:val="40"/>
          <w:szCs w:val="40"/>
        </w:rPr>
      </w:pPr>
      <w:r w:rsidRPr="00BF6E94">
        <w:rPr>
          <w:rFonts w:ascii="Calibri" w:hAnsi="Calibri" w:cs="Calibri"/>
          <w:b/>
          <w:bCs/>
          <w:color w:val="1560A0"/>
          <w:sz w:val="40"/>
          <w:szCs w:val="40"/>
        </w:rPr>
        <w:lastRenderedPageBreak/>
        <w:t>References</w:t>
      </w:r>
    </w:p>
    <w:p w14:paraId="5224E04E" w14:textId="77777777" w:rsidR="00BF6E94" w:rsidRPr="00BF6E94" w:rsidRDefault="00BF6E94" w:rsidP="00BF6E94"/>
    <w:p w14:paraId="1BB20661"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The Royal College of Radiologists and The College of Radiographers. Quality Standard for Imaging. 2026. The Royal College of Radiologists. Available at: </w:t>
      </w:r>
      <w:hyperlink r:id="rId13" w:history="1">
        <w:r w:rsidRPr="00BF6E94">
          <w:rPr>
            <w:rStyle w:val="Hyperlink"/>
            <w:rFonts w:ascii="Calibri" w:hAnsi="Calibri" w:cs="Calibri"/>
            <w:color w:val="1560A0"/>
          </w:rPr>
          <w:t>Quality Standard for Imaging | The Royal College of Radiologists</w:t>
        </w:r>
      </w:hyperlink>
    </w:p>
    <w:p w14:paraId="17AB6C24"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The Society of Radiographers. Principles of Safe Staffing for Radiography Leaders. Third Edition. 2024. ISBN: 978-1-909802-39-1. The Society of Radiographers. Available at: </w:t>
      </w:r>
      <w:hyperlink r:id="rId14" w:history="1">
        <w:r w:rsidRPr="00BF6E94">
          <w:rPr>
            <w:rFonts w:ascii="Calibri" w:hAnsi="Calibri" w:cs="Calibri"/>
            <w:color w:val="1560A0"/>
            <w:u w:val="single"/>
          </w:rPr>
          <w:t>110924_Principles-of-Safe-Staffing-for-Radiography-Leaders_D1-9</w:t>
        </w:r>
      </w:hyperlink>
    </w:p>
    <w:p w14:paraId="26605DB2"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Her Majesty’s Stationery Office and Queen’s Printer of Acts of Parliament. 2017. The Ionising Radiation (Medical Exposure) Regulations 2017. The Stationery Office Limited. Available at: </w:t>
      </w:r>
      <w:hyperlink r:id="rId15" w:history="1">
        <w:r w:rsidRPr="00BF6E94">
          <w:rPr>
            <w:rFonts w:ascii="Calibri" w:hAnsi="Calibri" w:cs="Calibri"/>
            <w:color w:val="1560A0"/>
            <w:u w:val="single"/>
          </w:rPr>
          <w:t>The Ionising Radiation (Medical Exposure) Regulations 2017</w:t>
        </w:r>
      </w:hyperlink>
    </w:p>
    <w:p w14:paraId="59F74D7B"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Her Majesty’s Stationery.  The Ionising Radiation (Medical Exposure) Regulations </w:t>
      </w:r>
    </w:p>
    <w:p w14:paraId="7F643D06" w14:textId="77777777" w:rsidR="00BF6E94" w:rsidRPr="00BF6E94" w:rsidRDefault="00BF6E94" w:rsidP="00BF6E94">
      <w:pPr>
        <w:ind w:left="720"/>
        <w:contextualSpacing/>
        <w:rPr>
          <w:rFonts w:ascii="Calibri" w:hAnsi="Calibri" w:cs="Calibri"/>
          <w:color w:val="1560A0"/>
        </w:rPr>
      </w:pPr>
      <w:r w:rsidRPr="00BF6E94">
        <w:rPr>
          <w:rFonts w:ascii="Calibri" w:hAnsi="Calibri" w:cs="Calibri"/>
          <w:color w:val="1560A0"/>
        </w:rPr>
        <w:t xml:space="preserve">(Northern Ireland) 2018. Government Printer for Northern Ireland. Available at: </w:t>
      </w:r>
      <w:hyperlink r:id="rId16" w:history="1">
        <w:r w:rsidRPr="00BF6E94">
          <w:rPr>
            <w:rFonts w:ascii="Calibri" w:hAnsi="Calibri" w:cs="Calibri"/>
            <w:color w:val="1560A0"/>
            <w:u w:val="single"/>
          </w:rPr>
          <w:t>The Ionising Radiation (Medical Exposure) Regulations (Northern Ireland) 2018</w:t>
        </w:r>
      </w:hyperlink>
    </w:p>
    <w:p w14:paraId="43860B1C"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Mallinson M, Hardy M, Scally A. Developing CT workforce competencies: What knowledge and skills should we expect of an early career radiographer? Radiography, 2024; 30, 1355-1362.</w:t>
      </w:r>
    </w:p>
    <w:p w14:paraId="08651BA6"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College of Radiographers. Education and Career Framework for the Radiography Workforce Fourth Edition 2025. Society and College of Radiographers. Available at: </w:t>
      </w:r>
      <w:hyperlink r:id="rId17" w:history="1">
        <w:r w:rsidRPr="00BF6E94">
          <w:rPr>
            <w:rFonts w:ascii="Calibri" w:hAnsi="Calibri" w:cs="Calibri"/>
            <w:color w:val="1560A0"/>
            <w:u w:val="single"/>
          </w:rPr>
          <w:t xml:space="preserve">Education and Career Framework for the Radiography Workforce Fourth Edition | </w:t>
        </w:r>
        <w:proofErr w:type="spellStart"/>
        <w:r w:rsidRPr="00BF6E94">
          <w:rPr>
            <w:rFonts w:ascii="Calibri" w:hAnsi="Calibri" w:cs="Calibri"/>
            <w:color w:val="1560A0"/>
            <w:u w:val="single"/>
          </w:rPr>
          <w:t>SoR</w:t>
        </w:r>
        <w:proofErr w:type="spellEnd"/>
      </w:hyperlink>
    </w:p>
    <w:p w14:paraId="29E2670E"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UK Health Security Agency. National incident learning system in clinical imaging, MRI and nuclear medicine. 2024. UK Health Security Agency. Available at: </w:t>
      </w:r>
      <w:hyperlink r:id="rId18" w:history="1">
        <w:r w:rsidRPr="00BF6E94">
          <w:rPr>
            <w:rFonts w:ascii="Calibri" w:hAnsi="Calibri" w:cs="Calibri"/>
            <w:color w:val="1560A0"/>
            <w:u w:val="single"/>
          </w:rPr>
          <w:t>Medical Exposures Group (MEG), Radiation Assessments Department - Incident Learning</w:t>
        </w:r>
      </w:hyperlink>
    </w:p>
    <w:p w14:paraId="6D983CF4"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The Society of Radiographers. The Radiography Support and Assistant Workforce: regulatory compliance, governance arrangements, supervision and delegation. First Edition. 2023. ISBN: 978-1-909802-88-9. The Society of Radiographers. Available at: </w:t>
      </w:r>
      <w:hyperlink r:id="rId19" w:history="1">
        <w:r w:rsidRPr="00BF6E94">
          <w:rPr>
            <w:rFonts w:ascii="Calibri" w:hAnsi="Calibri" w:cs="Calibri"/>
            <w:color w:val="1560A0"/>
            <w:u w:val="single"/>
          </w:rPr>
          <w:t>220823_The-Radiography-Support-and-Assistant-Workforce_D1-3</w:t>
        </w:r>
      </w:hyperlink>
    </w:p>
    <w:p w14:paraId="046757AD" w14:textId="77777777" w:rsidR="00BF6E94" w:rsidRPr="00BF6E94" w:rsidRDefault="00BF6E94" w:rsidP="00BF6E94">
      <w:pPr>
        <w:numPr>
          <w:ilvl w:val="0"/>
          <w:numId w:val="3"/>
        </w:numPr>
        <w:spacing w:after="160" w:line="259" w:lineRule="auto"/>
        <w:contextualSpacing/>
        <w:rPr>
          <w:rFonts w:ascii="Calibri" w:hAnsi="Calibri" w:cs="Calibri"/>
          <w:color w:val="1560A0"/>
        </w:rPr>
      </w:pPr>
      <w:r w:rsidRPr="00BF6E94">
        <w:rPr>
          <w:rFonts w:ascii="Calibri" w:hAnsi="Calibri" w:cs="Calibri"/>
          <w:color w:val="1560A0"/>
        </w:rPr>
        <w:t xml:space="preserve">Health Education England. Allied Health Professions’ Support Worker Competency, Education, and Career Development Framework. 2021.Health Education England. NHS. Available at: </w:t>
      </w:r>
      <w:hyperlink r:id="rId20" w:history="1">
        <w:r w:rsidRPr="00BF6E94">
          <w:rPr>
            <w:rFonts w:ascii="Calibri" w:hAnsi="Calibri" w:cs="Calibri"/>
            <w:color w:val="1560A0"/>
            <w:u w:val="single"/>
          </w:rPr>
          <w:t>AHP Framework</w:t>
        </w:r>
      </w:hyperlink>
    </w:p>
    <w:p w14:paraId="30372D81" w14:textId="77777777" w:rsidR="00BF6E94" w:rsidRDefault="00BF6E94" w:rsidP="00BF6E94">
      <w:pPr>
        <w:rPr>
          <w:rFonts w:ascii="Calibri" w:eastAsiaTheme="majorEastAsia" w:hAnsi="Calibri" w:cs="Calibri"/>
          <w:color w:val="1560A0"/>
          <w:sz w:val="28"/>
          <w:szCs w:val="28"/>
          <w:lang w:val="en-US"/>
        </w:rPr>
      </w:pPr>
    </w:p>
    <w:p w14:paraId="52856ABE" w14:textId="77777777" w:rsidR="00BF6E94" w:rsidRDefault="00BF6E94" w:rsidP="00BF6E94">
      <w:pPr>
        <w:rPr>
          <w:rFonts w:ascii="Calibri" w:eastAsiaTheme="majorEastAsia" w:hAnsi="Calibri" w:cs="Calibri"/>
          <w:color w:val="1560A0"/>
          <w:sz w:val="28"/>
          <w:szCs w:val="28"/>
          <w:lang w:val="en-US"/>
        </w:rPr>
      </w:pPr>
    </w:p>
    <w:p w14:paraId="7A4260C2" w14:textId="77777777" w:rsidR="00BF6E94" w:rsidRPr="00BF6E94" w:rsidRDefault="00BF6E94" w:rsidP="00BF6E94">
      <w:pPr>
        <w:rPr>
          <w:rFonts w:ascii="Calibri" w:eastAsiaTheme="majorEastAsia" w:hAnsi="Calibri" w:cs="Calibri"/>
          <w:color w:val="1560A0"/>
          <w:sz w:val="28"/>
          <w:szCs w:val="28"/>
          <w:lang w:val="en-US"/>
        </w:rPr>
      </w:pPr>
    </w:p>
    <w:p w14:paraId="4E14B592" w14:textId="77777777" w:rsidR="00BF6E94" w:rsidRPr="00BF6E94" w:rsidRDefault="00BF6E94" w:rsidP="00BF6E94">
      <w:pPr>
        <w:rPr>
          <w:rFonts w:ascii="Calibri" w:eastAsiaTheme="majorEastAsia" w:hAnsi="Calibri" w:cs="Calibri"/>
          <w:color w:val="1560A0"/>
          <w:lang w:val="en-US"/>
        </w:rPr>
      </w:pPr>
    </w:p>
    <w:p w14:paraId="1784A906" w14:textId="77777777" w:rsidR="00BF6E94" w:rsidRPr="00BF6E94" w:rsidRDefault="00BF6E94" w:rsidP="00BF6E94">
      <w:pPr>
        <w:rPr>
          <w:rFonts w:ascii="Calibri" w:eastAsiaTheme="majorEastAsia" w:hAnsi="Calibri" w:cs="Calibri"/>
          <w:color w:val="1560A0"/>
          <w:lang w:val="en-US"/>
        </w:rPr>
      </w:pPr>
    </w:p>
    <w:p w14:paraId="771E3222" w14:textId="77777777" w:rsidR="00BF6E94" w:rsidRPr="00BF6E94" w:rsidRDefault="00BF6E94" w:rsidP="00BF6E94">
      <w:pPr>
        <w:rPr>
          <w:rFonts w:ascii="Calibri" w:eastAsiaTheme="majorEastAsia" w:hAnsi="Calibri" w:cs="Calibri"/>
          <w:color w:val="1560A0"/>
          <w:lang w:val="en-US"/>
        </w:rPr>
      </w:pPr>
    </w:p>
    <w:p w14:paraId="0AD34B72" w14:textId="77777777" w:rsidR="00BF6E94" w:rsidRPr="00BF6E94" w:rsidRDefault="00BF6E94" w:rsidP="00BF6E94">
      <w:pPr>
        <w:rPr>
          <w:rFonts w:ascii="Calibri" w:eastAsiaTheme="majorEastAsia" w:hAnsi="Calibri" w:cs="Calibri"/>
          <w:color w:val="1560A0"/>
          <w:lang w:val="en-US"/>
        </w:rPr>
      </w:pPr>
    </w:p>
    <w:p w14:paraId="16EC48A4" w14:textId="77777777" w:rsidR="00290BBB" w:rsidRPr="00BF6E94" w:rsidRDefault="00290BBB" w:rsidP="00BF6E94">
      <w:pPr>
        <w:rPr>
          <w:rFonts w:ascii="Calibri" w:hAnsi="Calibri" w:cs="Calibri"/>
          <w:color w:val="1560A0"/>
        </w:rPr>
      </w:pPr>
    </w:p>
    <w:p w14:paraId="27B68A6F" w14:textId="77777777" w:rsidR="00290BBB" w:rsidRPr="00BF6E94" w:rsidRDefault="00290BBB" w:rsidP="00BF6E94">
      <w:pPr>
        <w:rPr>
          <w:rFonts w:ascii="Calibri" w:hAnsi="Calibri" w:cs="Calibri"/>
          <w:color w:val="1560A0"/>
        </w:rPr>
      </w:pPr>
    </w:p>
    <w:p w14:paraId="3A9CBA02" w14:textId="77777777" w:rsidR="00290BBB" w:rsidRPr="00BF6E94" w:rsidRDefault="00290BBB" w:rsidP="00BF6E94">
      <w:pPr>
        <w:rPr>
          <w:rFonts w:ascii="Calibri" w:hAnsi="Calibri" w:cs="Calibri"/>
          <w:color w:val="1560A0"/>
        </w:rPr>
      </w:pPr>
    </w:p>
    <w:p w14:paraId="5F6F6C91" w14:textId="77777777" w:rsidR="00290BBB" w:rsidRPr="00BF6E94" w:rsidRDefault="00290BBB" w:rsidP="00BF6E94">
      <w:pPr>
        <w:rPr>
          <w:rFonts w:ascii="Calibri" w:hAnsi="Calibri" w:cs="Calibri"/>
          <w:color w:val="1560A0"/>
        </w:rPr>
      </w:pPr>
    </w:p>
    <w:p w14:paraId="6027AF5F" w14:textId="77777777" w:rsidR="00290BBB" w:rsidRPr="00BF6E94" w:rsidRDefault="00290BBB" w:rsidP="00BF6E94">
      <w:pPr>
        <w:rPr>
          <w:rFonts w:ascii="Calibri" w:hAnsi="Calibri" w:cs="Calibri"/>
          <w:color w:val="1560A0"/>
        </w:rPr>
      </w:pPr>
    </w:p>
    <w:p w14:paraId="569C0757" w14:textId="77777777" w:rsidR="00290BBB" w:rsidRPr="00BF6E94" w:rsidRDefault="00290BBB" w:rsidP="00BF6E94">
      <w:pPr>
        <w:rPr>
          <w:rFonts w:ascii="Calibri" w:hAnsi="Calibri" w:cs="Calibri"/>
          <w:color w:val="1560A0"/>
        </w:rPr>
      </w:pPr>
    </w:p>
    <w:p w14:paraId="35E3DD16" w14:textId="3EADEA95" w:rsidR="00290BBB" w:rsidRPr="00BF6E94" w:rsidRDefault="00BF6E94" w:rsidP="00BF6E94">
      <w:pPr>
        <w:rPr>
          <w:rFonts w:ascii="Calibri" w:hAnsi="Calibri" w:cs="Calibri"/>
          <w:color w:val="1560A0"/>
        </w:rPr>
      </w:pPr>
      <w:r>
        <w:rPr>
          <w:noProof/>
        </w:rPr>
        <w:lastRenderedPageBreak/>
        <w:drawing>
          <wp:anchor distT="0" distB="0" distL="114300" distR="114300" simplePos="0" relativeHeight="251659264" behindDoc="1" locked="0" layoutInCell="1" allowOverlap="1" wp14:anchorId="32C1BF0E" wp14:editId="74B8257D">
            <wp:simplePos x="0" y="0"/>
            <wp:positionH relativeFrom="column">
              <wp:posOffset>-941070</wp:posOffset>
            </wp:positionH>
            <wp:positionV relativeFrom="paragraph">
              <wp:posOffset>-902628</wp:posOffset>
            </wp:positionV>
            <wp:extent cx="7584141" cy="10731736"/>
            <wp:effectExtent l="0" t="0" r="0" b="0"/>
            <wp:wrapNone/>
            <wp:docPr id="37716582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65827" name="Picture 37716582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84141" cy="10731736"/>
                    </a:xfrm>
                    <a:prstGeom prst="rect">
                      <a:avLst/>
                    </a:prstGeom>
                  </pic:spPr>
                </pic:pic>
              </a:graphicData>
            </a:graphic>
            <wp14:sizeRelH relativeFrom="page">
              <wp14:pctWidth>0</wp14:pctWidth>
            </wp14:sizeRelH>
            <wp14:sizeRelV relativeFrom="page">
              <wp14:pctHeight>0</wp14:pctHeight>
            </wp14:sizeRelV>
          </wp:anchor>
        </w:drawing>
      </w:r>
    </w:p>
    <w:p w14:paraId="428873D4" w14:textId="666EF20E" w:rsidR="00290BBB" w:rsidRDefault="00290BBB"/>
    <w:p w14:paraId="5EC3F802" w14:textId="77777777" w:rsidR="00290BBB" w:rsidRDefault="00290BBB"/>
    <w:p w14:paraId="05ECAF83" w14:textId="77777777" w:rsidR="00290BBB" w:rsidRDefault="00290BBB"/>
    <w:p w14:paraId="36A2CF4A" w14:textId="4C901B85" w:rsidR="00290BBB" w:rsidRDefault="00290BBB"/>
    <w:p w14:paraId="09282D22" w14:textId="77777777" w:rsidR="00290BBB" w:rsidRDefault="00290BBB"/>
    <w:p w14:paraId="03753494" w14:textId="77777777" w:rsidR="00290BBB" w:rsidRDefault="00290BBB"/>
    <w:p w14:paraId="2C61266A" w14:textId="77777777" w:rsidR="00290BBB" w:rsidRDefault="00290BBB"/>
    <w:p w14:paraId="23686E46" w14:textId="77777777" w:rsidR="00290BBB" w:rsidRDefault="00290BBB"/>
    <w:p w14:paraId="5F0120A5" w14:textId="77777777" w:rsidR="00290BBB" w:rsidRDefault="00290BBB"/>
    <w:p w14:paraId="5BF6A55B" w14:textId="77777777" w:rsidR="00290BBB" w:rsidRDefault="00290BBB"/>
    <w:p w14:paraId="4C5B0372" w14:textId="77777777" w:rsidR="00290BBB" w:rsidRDefault="00290BBB"/>
    <w:p w14:paraId="4A89A15A" w14:textId="77777777" w:rsidR="00290BBB" w:rsidRDefault="00290BBB"/>
    <w:p w14:paraId="0C363173" w14:textId="77777777" w:rsidR="00290BBB" w:rsidRDefault="00290BBB"/>
    <w:p w14:paraId="7C20A99F" w14:textId="77777777" w:rsidR="00290BBB" w:rsidRDefault="00290BBB"/>
    <w:p w14:paraId="19598161" w14:textId="77777777" w:rsidR="00290BBB" w:rsidRDefault="00290BBB"/>
    <w:p w14:paraId="39757348" w14:textId="41E2E5CC" w:rsidR="00290BBB" w:rsidRDefault="00290BBB"/>
    <w:p w14:paraId="09F57AF7" w14:textId="77777777" w:rsidR="00290BBB" w:rsidRDefault="00290BBB"/>
    <w:p w14:paraId="71F472B7" w14:textId="77777777" w:rsidR="00290BBB" w:rsidRDefault="00290BBB"/>
    <w:p w14:paraId="745832F6" w14:textId="77777777" w:rsidR="00290BBB" w:rsidRDefault="00290BBB"/>
    <w:p w14:paraId="25D5AD9F" w14:textId="77777777" w:rsidR="00290BBB" w:rsidRDefault="00290BBB"/>
    <w:p w14:paraId="6D0DC861" w14:textId="77777777" w:rsidR="00290BBB" w:rsidRDefault="00290BBB"/>
    <w:p w14:paraId="0DE059F5" w14:textId="77777777" w:rsidR="00290BBB" w:rsidRDefault="00290BBB"/>
    <w:p w14:paraId="413371A3" w14:textId="77777777" w:rsidR="00290BBB" w:rsidRDefault="00290BBB"/>
    <w:p w14:paraId="7C86DCA6" w14:textId="77777777" w:rsidR="00290BBB" w:rsidRDefault="00290BBB"/>
    <w:p w14:paraId="1126AC57" w14:textId="77777777" w:rsidR="00290BBB" w:rsidRDefault="00290BBB"/>
    <w:p w14:paraId="1D9A0EC3" w14:textId="77777777" w:rsidR="00290BBB" w:rsidRDefault="00290BBB"/>
    <w:p w14:paraId="1ED1CD29" w14:textId="77777777" w:rsidR="00290BBB" w:rsidRDefault="00290BBB"/>
    <w:p w14:paraId="49414239" w14:textId="77777777" w:rsidR="00290BBB" w:rsidRDefault="00290BBB"/>
    <w:p w14:paraId="10316177" w14:textId="77777777" w:rsidR="00290BBB" w:rsidRDefault="00290BBB"/>
    <w:p w14:paraId="06B7CF1A" w14:textId="77777777" w:rsidR="00290BBB" w:rsidRDefault="00290BBB"/>
    <w:p w14:paraId="54E2CC43" w14:textId="77777777" w:rsidR="00290BBB" w:rsidRDefault="00290BBB"/>
    <w:p w14:paraId="26884CBE" w14:textId="7DA96DBB" w:rsidR="00290BBB" w:rsidRDefault="00290BBB"/>
    <w:p w14:paraId="2D070DCA" w14:textId="77777777" w:rsidR="00290BBB" w:rsidRDefault="00290BBB"/>
    <w:p w14:paraId="22E90F77" w14:textId="77777777" w:rsidR="00290BBB" w:rsidRDefault="00290BBB"/>
    <w:p w14:paraId="13E830DF" w14:textId="77777777" w:rsidR="00290BBB" w:rsidRDefault="00290BBB"/>
    <w:p w14:paraId="6822CE07" w14:textId="77777777" w:rsidR="00290BBB" w:rsidRDefault="00290BBB"/>
    <w:p w14:paraId="16BE1C80" w14:textId="2803D5C6" w:rsidR="00290BBB" w:rsidRDefault="00290BBB"/>
    <w:sectPr w:rsidR="00290BBB" w:rsidSect="00290BBB">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2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D9008" w14:textId="77777777" w:rsidR="00105B5B" w:rsidRDefault="00105B5B" w:rsidP="00290BBB">
      <w:r>
        <w:separator/>
      </w:r>
    </w:p>
  </w:endnote>
  <w:endnote w:type="continuationSeparator" w:id="0">
    <w:p w14:paraId="235467D0" w14:textId="77777777" w:rsidR="00105B5B" w:rsidRDefault="00105B5B" w:rsidP="00290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0411310"/>
      <w:docPartObj>
        <w:docPartGallery w:val="Page Numbers (Bottom of Page)"/>
        <w:docPartUnique/>
      </w:docPartObj>
    </w:sdtPr>
    <w:sdtContent>
      <w:p w14:paraId="5542F135" w14:textId="3572D46D" w:rsidR="00290BBB" w:rsidRDefault="00290BBB" w:rsidP="00E954AE">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F620F20" w14:textId="77777777" w:rsidR="00290BBB" w:rsidRDefault="00290BBB" w:rsidP="00290BBB">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b/>
        <w:bCs/>
        <w:color w:val="1560A0"/>
      </w:rPr>
      <w:id w:val="-557936746"/>
      <w:docPartObj>
        <w:docPartGallery w:val="Page Numbers (Bottom of Page)"/>
        <w:docPartUnique/>
      </w:docPartObj>
    </w:sdtPr>
    <w:sdtContent>
      <w:p w14:paraId="7AD4BE24" w14:textId="5FD5DBD0" w:rsidR="00290BBB" w:rsidRPr="00290BBB" w:rsidRDefault="00290BBB" w:rsidP="00E954AE">
        <w:pPr>
          <w:pStyle w:val="Footer"/>
          <w:framePr w:wrap="none" w:vAnchor="text" w:hAnchor="margin" w:y="1"/>
          <w:rPr>
            <w:rStyle w:val="PageNumber"/>
            <w:b/>
            <w:bCs/>
            <w:color w:val="1560A0"/>
          </w:rPr>
        </w:pPr>
        <w:r w:rsidRPr="00290BBB">
          <w:rPr>
            <w:rStyle w:val="PageNumber"/>
            <w:rFonts w:ascii="Calibri" w:hAnsi="Calibri" w:cs="Calibri"/>
            <w:b/>
            <w:bCs/>
            <w:color w:val="1560A0"/>
          </w:rPr>
          <w:fldChar w:fldCharType="begin"/>
        </w:r>
        <w:r w:rsidRPr="00290BBB">
          <w:rPr>
            <w:rStyle w:val="PageNumber"/>
            <w:rFonts w:ascii="Calibri" w:hAnsi="Calibri" w:cs="Calibri"/>
            <w:b/>
            <w:bCs/>
            <w:color w:val="1560A0"/>
          </w:rPr>
          <w:instrText xml:space="preserve"> PAGE </w:instrText>
        </w:r>
        <w:r w:rsidRPr="00290BBB">
          <w:rPr>
            <w:rStyle w:val="PageNumber"/>
            <w:rFonts w:ascii="Calibri" w:hAnsi="Calibri" w:cs="Calibri"/>
            <w:b/>
            <w:bCs/>
            <w:color w:val="1560A0"/>
          </w:rPr>
          <w:fldChar w:fldCharType="separate"/>
        </w:r>
        <w:r w:rsidRPr="00290BBB">
          <w:rPr>
            <w:rStyle w:val="PageNumber"/>
            <w:rFonts w:ascii="Calibri" w:hAnsi="Calibri" w:cs="Calibri"/>
            <w:b/>
            <w:bCs/>
            <w:noProof/>
            <w:color w:val="1560A0"/>
          </w:rPr>
          <w:t>1</w:t>
        </w:r>
        <w:r w:rsidRPr="00290BBB">
          <w:rPr>
            <w:rStyle w:val="PageNumber"/>
            <w:rFonts w:ascii="Calibri" w:hAnsi="Calibri" w:cs="Calibri"/>
            <w:b/>
            <w:bCs/>
            <w:color w:val="1560A0"/>
          </w:rPr>
          <w:fldChar w:fldCharType="end"/>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7932"/>
      <w:gridCol w:w="522"/>
    </w:tblGrid>
    <w:tr w:rsidR="00290BBB" w14:paraId="64AF2DD7" w14:textId="77777777" w:rsidTr="00290BBB">
      <w:tc>
        <w:tcPr>
          <w:tcW w:w="562" w:type="dxa"/>
        </w:tcPr>
        <w:p w14:paraId="3329D79A" w14:textId="77777777" w:rsidR="00290BBB" w:rsidRDefault="00290BBB" w:rsidP="00290BBB">
          <w:pPr>
            <w:ind w:firstLine="360"/>
          </w:pPr>
        </w:p>
      </w:tc>
      <w:tc>
        <w:tcPr>
          <w:tcW w:w="7932" w:type="dxa"/>
        </w:tcPr>
        <w:p w14:paraId="3F9CE83E" w14:textId="0CAA32D5" w:rsidR="00290BBB" w:rsidRPr="00290BBB" w:rsidRDefault="00290BBB" w:rsidP="00290BBB">
          <w:pPr>
            <w:pStyle w:val="Title"/>
            <w:rPr>
              <w:rFonts w:ascii="Calibri" w:hAnsi="Calibri" w:cs="Calibri"/>
              <w:sz w:val="24"/>
              <w:szCs w:val="24"/>
              <w:lang w:val="en-US"/>
            </w:rPr>
          </w:pPr>
          <w:r w:rsidRPr="00290BBB">
            <w:rPr>
              <w:rFonts w:ascii="Calibri" w:hAnsi="Calibri" w:cs="Calibri"/>
              <w:color w:val="1560A0"/>
              <w:sz w:val="24"/>
              <w:szCs w:val="24"/>
              <w:lang w:val="en-US"/>
            </w:rPr>
            <w:t>Quick reference guidance</w:t>
          </w:r>
        </w:p>
        <w:p w14:paraId="6740FC58" w14:textId="77777777" w:rsidR="00290BBB" w:rsidRDefault="00290BBB" w:rsidP="00290BBB"/>
      </w:tc>
      <w:tc>
        <w:tcPr>
          <w:tcW w:w="522" w:type="dxa"/>
        </w:tcPr>
        <w:p w14:paraId="431DAE29" w14:textId="1C4FE9FC" w:rsidR="00290BBB" w:rsidRDefault="00290BBB" w:rsidP="00290BBB">
          <w:r>
            <w:rPr>
              <w:rFonts w:ascii="Calibri" w:hAnsi="Calibri" w:cs="Calibri"/>
              <w:noProof/>
              <w:lang w:val="en-US"/>
            </w:rPr>
            <w:drawing>
              <wp:inline distT="0" distB="0" distL="0" distR="0" wp14:anchorId="40D02C5B" wp14:editId="7570F754">
                <wp:extent cx="194292" cy="287994"/>
                <wp:effectExtent l="0" t="0" r="0" b="4445"/>
                <wp:docPr id="1714858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858682" name="Picture 1714858682"/>
                        <pic:cNvPicPr/>
                      </pic:nvPicPr>
                      <pic:blipFill>
                        <a:blip r:embed="rId1">
                          <a:extLst>
                            <a:ext uri="{28A0092B-C50C-407E-A947-70E740481C1C}">
                              <a14:useLocalDpi xmlns:a14="http://schemas.microsoft.com/office/drawing/2010/main" val="0"/>
                            </a:ext>
                          </a:extLst>
                        </a:blip>
                        <a:stretch>
                          <a:fillRect/>
                        </a:stretch>
                      </pic:blipFill>
                      <pic:spPr>
                        <a:xfrm>
                          <a:off x="0" y="0"/>
                          <a:ext cx="217386" cy="322226"/>
                        </a:xfrm>
                        <a:prstGeom prst="rect">
                          <a:avLst/>
                        </a:prstGeom>
                      </pic:spPr>
                    </pic:pic>
                  </a:graphicData>
                </a:graphic>
              </wp:inline>
            </w:drawing>
          </w:r>
        </w:p>
      </w:tc>
    </w:tr>
  </w:tbl>
  <w:p w14:paraId="4356A11E" w14:textId="77777777" w:rsidR="00290BBB" w:rsidRDefault="00290B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D8CA0" w14:textId="77777777" w:rsidR="00290BBB" w:rsidRDefault="00290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71B383" w14:textId="77777777" w:rsidR="00105B5B" w:rsidRDefault="00105B5B" w:rsidP="00290BBB">
      <w:r>
        <w:separator/>
      </w:r>
    </w:p>
  </w:footnote>
  <w:footnote w:type="continuationSeparator" w:id="0">
    <w:p w14:paraId="5F3C9F89" w14:textId="77777777" w:rsidR="00105B5B" w:rsidRDefault="00105B5B" w:rsidP="00290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3609EA" w14:textId="30A9DF5A" w:rsidR="00290BBB" w:rsidRDefault="00290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C2E79" w14:textId="7FEA4AEB" w:rsidR="00290BBB" w:rsidRDefault="00290B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7E0D15" w14:textId="3E146D17" w:rsidR="00290BBB" w:rsidRDefault="00290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A750F"/>
    <w:multiLevelType w:val="hybridMultilevel"/>
    <w:tmpl w:val="3AB0FF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59027C60"/>
    <w:multiLevelType w:val="hybridMultilevel"/>
    <w:tmpl w:val="609CD3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2876626"/>
    <w:multiLevelType w:val="hybridMultilevel"/>
    <w:tmpl w:val="0E52E0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2758739">
    <w:abstractNumId w:val="1"/>
  </w:num>
  <w:num w:numId="2" w16cid:durableId="380249176">
    <w:abstractNumId w:val="2"/>
  </w:num>
  <w:num w:numId="3" w16cid:durableId="3412775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BBB"/>
    <w:rsid w:val="00105B5B"/>
    <w:rsid w:val="0018753F"/>
    <w:rsid w:val="00290BBB"/>
    <w:rsid w:val="00304A0A"/>
    <w:rsid w:val="00882AC4"/>
    <w:rsid w:val="00B2699D"/>
    <w:rsid w:val="00BF6E94"/>
    <w:rsid w:val="00CD6BC6"/>
    <w:rsid w:val="00D37AD5"/>
    <w:rsid w:val="00F453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573EF8"/>
  <w15:chartTrackingRefBased/>
  <w15:docId w15:val="{0434B4BB-7B15-B944-9F29-71364F2EC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B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90B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B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B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B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B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B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B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B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B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90B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90B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B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B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B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B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B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BBB"/>
    <w:rPr>
      <w:rFonts w:eastAsiaTheme="majorEastAsia" w:cstheme="majorBidi"/>
      <w:color w:val="272727" w:themeColor="text1" w:themeTint="D8"/>
    </w:rPr>
  </w:style>
  <w:style w:type="paragraph" w:styleId="Title">
    <w:name w:val="Title"/>
    <w:basedOn w:val="Normal"/>
    <w:next w:val="Normal"/>
    <w:link w:val="TitleChar"/>
    <w:uiPriority w:val="10"/>
    <w:qFormat/>
    <w:rsid w:val="00290B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B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BB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B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B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0BBB"/>
    <w:rPr>
      <w:i/>
      <w:iCs/>
      <w:color w:val="404040" w:themeColor="text1" w:themeTint="BF"/>
    </w:rPr>
  </w:style>
  <w:style w:type="paragraph" w:styleId="ListParagraph">
    <w:name w:val="List Paragraph"/>
    <w:basedOn w:val="Normal"/>
    <w:uiPriority w:val="34"/>
    <w:qFormat/>
    <w:rsid w:val="00290BBB"/>
    <w:pPr>
      <w:ind w:left="720"/>
      <w:contextualSpacing/>
    </w:pPr>
  </w:style>
  <w:style w:type="character" w:styleId="IntenseEmphasis">
    <w:name w:val="Intense Emphasis"/>
    <w:basedOn w:val="DefaultParagraphFont"/>
    <w:uiPriority w:val="21"/>
    <w:qFormat/>
    <w:rsid w:val="00290BBB"/>
    <w:rPr>
      <w:i/>
      <w:iCs/>
      <w:color w:val="0F4761" w:themeColor="accent1" w:themeShade="BF"/>
    </w:rPr>
  </w:style>
  <w:style w:type="paragraph" w:styleId="IntenseQuote">
    <w:name w:val="Intense Quote"/>
    <w:basedOn w:val="Normal"/>
    <w:next w:val="Normal"/>
    <w:link w:val="IntenseQuoteChar"/>
    <w:uiPriority w:val="30"/>
    <w:qFormat/>
    <w:rsid w:val="00290B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BBB"/>
    <w:rPr>
      <w:i/>
      <w:iCs/>
      <w:color w:val="0F4761" w:themeColor="accent1" w:themeShade="BF"/>
    </w:rPr>
  </w:style>
  <w:style w:type="character" w:styleId="IntenseReference">
    <w:name w:val="Intense Reference"/>
    <w:basedOn w:val="DefaultParagraphFont"/>
    <w:uiPriority w:val="32"/>
    <w:qFormat/>
    <w:rsid w:val="00290BBB"/>
    <w:rPr>
      <w:b/>
      <w:bCs/>
      <w:smallCaps/>
      <w:color w:val="0F4761" w:themeColor="accent1" w:themeShade="BF"/>
      <w:spacing w:val="5"/>
    </w:rPr>
  </w:style>
  <w:style w:type="paragraph" w:styleId="Header">
    <w:name w:val="header"/>
    <w:basedOn w:val="Normal"/>
    <w:link w:val="HeaderChar"/>
    <w:uiPriority w:val="99"/>
    <w:unhideWhenUsed/>
    <w:rsid w:val="00290BBB"/>
    <w:pPr>
      <w:tabs>
        <w:tab w:val="center" w:pos="4513"/>
        <w:tab w:val="right" w:pos="9026"/>
      </w:tabs>
    </w:pPr>
  </w:style>
  <w:style w:type="character" w:customStyle="1" w:styleId="HeaderChar">
    <w:name w:val="Header Char"/>
    <w:basedOn w:val="DefaultParagraphFont"/>
    <w:link w:val="Header"/>
    <w:uiPriority w:val="99"/>
    <w:rsid w:val="00290BBB"/>
  </w:style>
  <w:style w:type="paragraph" w:styleId="Footer">
    <w:name w:val="footer"/>
    <w:basedOn w:val="Normal"/>
    <w:link w:val="FooterChar"/>
    <w:uiPriority w:val="99"/>
    <w:unhideWhenUsed/>
    <w:rsid w:val="00290BBB"/>
    <w:pPr>
      <w:tabs>
        <w:tab w:val="center" w:pos="4513"/>
        <w:tab w:val="right" w:pos="9026"/>
      </w:tabs>
    </w:pPr>
  </w:style>
  <w:style w:type="character" w:customStyle="1" w:styleId="FooterChar">
    <w:name w:val="Footer Char"/>
    <w:basedOn w:val="DefaultParagraphFont"/>
    <w:link w:val="Footer"/>
    <w:uiPriority w:val="99"/>
    <w:rsid w:val="00290BBB"/>
  </w:style>
  <w:style w:type="table" w:styleId="TableGrid">
    <w:name w:val="Table Grid"/>
    <w:basedOn w:val="TableNormal"/>
    <w:uiPriority w:val="39"/>
    <w:rsid w:val="00290B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290BBB"/>
  </w:style>
  <w:style w:type="character" w:styleId="CommentReference">
    <w:name w:val="annotation reference"/>
    <w:basedOn w:val="DefaultParagraphFont"/>
    <w:uiPriority w:val="99"/>
    <w:semiHidden/>
    <w:unhideWhenUsed/>
    <w:rsid w:val="00BF6E94"/>
    <w:rPr>
      <w:sz w:val="16"/>
      <w:szCs w:val="16"/>
    </w:rPr>
  </w:style>
  <w:style w:type="paragraph" w:styleId="CommentText">
    <w:name w:val="annotation text"/>
    <w:basedOn w:val="Normal"/>
    <w:link w:val="CommentTextChar"/>
    <w:uiPriority w:val="99"/>
    <w:unhideWhenUsed/>
    <w:rsid w:val="00BF6E94"/>
    <w:pPr>
      <w:spacing w:after="160"/>
    </w:pPr>
    <w:rPr>
      <w:sz w:val="20"/>
      <w:szCs w:val="20"/>
    </w:rPr>
  </w:style>
  <w:style w:type="character" w:customStyle="1" w:styleId="CommentTextChar">
    <w:name w:val="Comment Text Char"/>
    <w:basedOn w:val="DefaultParagraphFont"/>
    <w:link w:val="CommentText"/>
    <w:uiPriority w:val="99"/>
    <w:rsid w:val="00BF6E94"/>
    <w:rPr>
      <w:sz w:val="20"/>
      <w:szCs w:val="20"/>
    </w:rPr>
  </w:style>
  <w:style w:type="character" w:styleId="Hyperlink">
    <w:name w:val="Hyperlink"/>
    <w:basedOn w:val="DefaultParagraphFont"/>
    <w:uiPriority w:val="99"/>
    <w:unhideWhenUsed/>
    <w:rsid w:val="00BF6E94"/>
    <w:rPr>
      <w:color w:val="0000FF"/>
      <w:u w:val="single"/>
    </w:rPr>
  </w:style>
  <w:style w:type="character" w:styleId="UnresolvedMention">
    <w:name w:val="Unresolved Mention"/>
    <w:basedOn w:val="DefaultParagraphFont"/>
    <w:uiPriority w:val="99"/>
    <w:semiHidden/>
    <w:unhideWhenUsed/>
    <w:rsid w:val="001875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r.org/about/society-of-radiographers/statutory-documents/memorandum-articles-of-association-and-handbook/sor-handbook" TargetMode="External"/><Relationship Id="rId13" Type="http://schemas.openxmlformats.org/officeDocument/2006/relationships/hyperlink" Target="https://www.rcr.ac.uk/our-services/management-service-delivery/quality-standard-for-imaging-qsi/qsi-quality-mark-scheme/quality-standard-for-imaging/" TargetMode="External"/><Relationship Id="rId18" Type="http://schemas.openxmlformats.org/officeDocument/2006/relationships/hyperlink" Target="https://www.ukhsa-protectionservices.org.uk/meg/IncidentLearning/"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2.jpeg"/><Relationship Id="rId7" Type="http://schemas.openxmlformats.org/officeDocument/2006/relationships/image" Target="media/image1.jpeg"/><Relationship Id="rId12" Type="http://schemas.openxmlformats.org/officeDocument/2006/relationships/hyperlink" Target="https://www.hee.nhs.uk/sites/default/files/documents/AHP_Framework.pdf" TargetMode="External"/><Relationship Id="rId17" Type="http://schemas.openxmlformats.org/officeDocument/2006/relationships/hyperlink" Target="https://www.sor.org/learning-advice/professional-body-guidance-and-publications/documents-and-publications/policy-guidance-document-library/education-and-career-framework-for-the-radiogr-(1)"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legislation.gov.uk/nisr/2018/17/pdfs/nisr_20180017_en.pdf" TargetMode="External"/><Relationship Id="rId20" Type="http://schemas.openxmlformats.org/officeDocument/2006/relationships/hyperlink" Target="https://www.hee.nhs.uk/sites/default/files/documents/AHP_Framework%20Final_0.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r.org/learning-advice/professional-body-guidance-and-publications/documents-and-publications/policy-guidance-document-library/the-radiography-support-and-assistant-workforce-re"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legislation.gov.uk/uksi/2017/1322/content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sor.org/learning-advice/professional-body-guidance-and-publications/documents-and-publications/policy-guidance-document-library/radiographer-competencies-for-ct-practice-in-the-u" TargetMode="External"/><Relationship Id="rId19" Type="http://schemas.openxmlformats.org/officeDocument/2006/relationships/hyperlink" Target="https://www.sor.org/getmedia/57f75e2e-a9c6-4e0e-baa2-8add9b78e0c5/220823_The-Radiography-Support-and-Assistant-Workforce_D1-3" TargetMode="External"/><Relationship Id="rId4" Type="http://schemas.openxmlformats.org/officeDocument/2006/relationships/webSettings" Target="webSettings.xml"/><Relationship Id="rId9" Type="http://schemas.openxmlformats.org/officeDocument/2006/relationships/hyperlink" Target="https://www.sor.org/learning-advice/professional-body-guidance-and-publications/documents-and-publications/policy-guidance-document-library/radiographer-competencies-for-ct-practice-in-the-u" TargetMode="External"/><Relationship Id="rId14" Type="http://schemas.openxmlformats.org/officeDocument/2006/relationships/hyperlink" Target="https://www.sor.org/getmedia/7dded9e2-49b9-4eb3-a1a9-183835069cd1/110924_Principles-of-Safe-Staffing-for-Radiography-Leaders_D1-9" TargetMode="External"/><Relationship Id="rId22" Type="http://schemas.openxmlformats.org/officeDocument/2006/relationships/header" Target="header1.xm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2319</Words>
  <Characters>13221</Characters>
  <Application>Microsoft Office Word</Application>
  <DocSecurity>0</DocSecurity>
  <Lines>110</Lines>
  <Paragraphs>31</Paragraphs>
  <ScaleCrop>false</ScaleCrop>
  <Company/>
  <LinksUpToDate>false</LinksUpToDate>
  <CharactersWithSpaces>15509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Allison</dc:creator>
  <cp:keywords/>
  <dc:description/>
  <cp:lastModifiedBy>Lee Allison</cp:lastModifiedBy>
  <cp:revision>2</cp:revision>
  <dcterms:created xsi:type="dcterms:W3CDTF">2026-10-12T09:27:00Z</dcterms:created>
  <dcterms:modified xsi:type="dcterms:W3CDTF">2026-10-12T09:27:00Z</dcterms:modified>
</cp:coreProperties>
</file>