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76" w:rsidRDefault="004F1076" w:rsidP="00580832">
      <w:pPr>
        <w:spacing w:after="0"/>
        <w:ind w:left="-567" w:right="-613"/>
        <w:jc w:val="right"/>
        <w:rPr>
          <w:b/>
          <w:sz w:val="40"/>
          <w:szCs w:val="40"/>
        </w:rPr>
      </w:pPr>
    </w:p>
    <w:p w:rsidR="00552833" w:rsidRPr="00686B05" w:rsidRDefault="0011058A" w:rsidP="00580832">
      <w:pPr>
        <w:spacing w:after="0"/>
        <w:ind w:left="-567" w:right="-613"/>
        <w:jc w:val="center"/>
        <w:rPr>
          <w:b/>
          <w:sz w:val="40"/>
          <w:szCs w:val="40"/>
        </w:rPr>
      </w:pPr>
      <w:r w:rsidRPr="00686B05">
        <w:rPr>
          <w:b/>
          <w:sz w:val="40"/>
          <w:szCs w:val="40"/>
        </w:rPr>
        <w:t xml:space="preserve">NHS </w:t>
      </w:r>
      <w:r w:rsidR="006A71F9" w:rsidRPr="00686B05">
        <w:rPr>
          <w:b/>
          <w:sz w:val="40"/>
          <w:szCs w:val="40"/>
        </w:rPr>
        <w:t xml:space="preserve">Scotland </w:t>
      </w:r>
      <w:r w:rsidRPr="00686B05">
        <w:rPr>
          <w:b/>
          <w:sz w:val="40"/>
          <w:szCs w:val="40"/>
        </w:rPr>
        <w:t>Pay 21/22: The Pay Offer</w:t>
      </w:r>
    </w:p>
    <w:p w:rsidR="0011058A" w:rsidRPr="00E13406" w:rsidRDefault="0011058A" w:rsidP="00580832">
      <w:pPr>
        <w:spacing w:after="0"/>
        <w:ind w:left="-567" w:right="-613"/>
      </w:pP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686B05" w:rsidRPr="00E13406" w:rsidTr="0058083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86B05" w:rsidRPr="00E13406" w:rsidRDefault="00686B05" w:rsidP="005808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  <w:p w:rsidR="00686B05" w:rsidRPr="00580832" w:rsidRDefault="00686B05" w:rsidP="005808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580832">
              <w:rPr>
                <w:b/>
                <w:sz w:val="24"/>
                <w:szCs w:val="24"/>
              </w:rPr>
              <w:t xml:space="preserve">As you will </w:t>
            </w:r>
            <w:r w:rsidR="006A255B">
              <w:rPr>
                <w:b/>
                <w:sz w:val="24"/>
                <w:szCs w:val="24"/>
              </w:rPr>
              <w:t>be</w:t>
            </w:r>
            <w:r w:rsidRPr="00580832">
              <w:rPr>
                <w:b/>
                <w:sz w:val="24"/>
                <w:szCs w:val="24"/>
              </w:rPr>
              <w:t xml:space="preserve"> aware, the Scottish Government made their final pay offer to Agenda for Change employees on the 24</w:t>
            </w:r>
            <w:r w:rsidRPr="00580832">
              <w:rPr>
                <w:b/>
                <w:sz w:val="24"/>
                <w:szCs w:val="24"/>
                <w:vertAlign w:val="superscript"/>
              </w:rPr>
              <w:t>th</w:t>
            </w:r>
            <w:r w:rsidRPr="00580832">
              <w:rPr>
                <w:b/>
                <w:sz w:val="24"/>
                <w:szCs w:val="24"/>
              </w:rPr>
              <w:t xml:space="preserve"> March.</w:t>
            </w:r>
          </w:p>
          <w:p w:rsidR="00580832" w:rsidRPr="00580832" w:rsidRDefault="00580832" w:rsidP="005808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86B05" w:rsidRPr="00580832" w:rsidRDefault="00686B05" w:rsidP="005808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580832">
              <w:rPr>
                <w:b/>
                <w:sz w:val="24"/>
                <w:szCs w:val="24"/>
              </w:rPr>
              <w:t>The SG made this Offer having chosen not to participate in the UK Pay Review Body process. They advise that they are underwriting the offer from their current funds.</w:t>
            </w:r>
          </w:p>
          <w:p w:rsidR="00686B05" w:rsidRPr="00580832" w:rsidRDefault="00686B05" w:rsidP="005808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86B05" w:rsidRPr="00580832" w:rsidRDefault="00686B05" w:rsidP="005808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580832">
              <w:rPr>
                <w:b/>
                <w:sz w:val="24"/>
                <w:szCs w:val="24"/>
              </w:rPr>
              <w:t>Pay talks were intense and Staff Side consider that this is the best Offer that they could achieve via negotiation - which is why all Health unions will now be consulting with their members.</w:t>
            </w:r>
          </w:p>
          <w:p w:rsidR="00686B05" w:rsidRPr="00E13406" w:rsidRDefault="00686B05" w:rsidP="00580832">
            <w:pPr>
              <w:ind w:left="-567" w:right="-613"/>
              <w:rPr>
                <w:sz w:val="24"/>
                <w:szCs w:val="24"/>
              </w:rPr>
            </w:pPr>
          </w:p>
        </w:tc>
      </w:tr>
    </w:tbl>
    <w:p w:rsidR="00686B05" w:rsidRPr="00E13406" w:rsidRDefault="00686B05" w:rsidP="00580832">
      <w:pPr>
        <w:spacing w:after="0"/>
        <w:ind w:left="-567" w:right="-613"/>
        <w:rPr>
          <w:sz w:val="24"/>
          <w:szCs w:val="24"/>
        </w:rPr>
      </w:pPr>
    </w:p>
    <w:p w:rsidR="00686B05" w:rsidRPr="00E13406" w:rsidRDefault="00686B05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 xml:space="preserve">How does this offer compare to </w:t>
      </w:r>
      <w:proofErr w:type="spellStart"/>
      <w:r w:rsidRPr="00E13406">
        <w:rPr>
          <w:b/>
          <w:sz w:val="24"/>
          <w:szCs w:val="24"/>
        </w:rPr>
        <w:t>SoR’s</w:t>
      </w:r>
      <w:proofErr w:type="spellEnd"/>
      <w:r w:rsidRPr="00E13406">
        <w:rPr>
          <w:b/>
          <w:sz w:val="24"/>
          <w:szCs w:val="24"/>
        </w:rPr>
        <w:t xml:space="preserve"> UK pay position?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686B05" w:rsidRDefault="00686B05" w:rsidP="00580832">
      <w:pPr>
        <w:spacing w:after="0"/>
        <w:ind w:left="-567" w:right="-613"/>
        <w:rPr>
          <w:sz w:val="24"/>
          <w:szCs w:val="24"/>
        </w:rPr>
      </w:pPr>
      <w:proofErr w:type="spellStart"/>
      <w:r w:rsidRPr="00E13406">
        <w:rPr>
          <w:sz w:val="24"/>
          <w:szCs w:val="24"/>
        </w:rPr>
        <w:t>SoR’s</w:t>
      </w:r>
      <w:proofErr w:type="spellEnd"/>
      <w:r w:rsidRPr="00E13406">
        <w:rPr>
          <w:sz w:val="24"/>
          <w:szCs w:val="24"/>
        </w:rPr>
        <w:t xml:space="preserve"> national pay position was for a £2000 flat rate rise for all </w:t>
      </w:r>
      <w:proofErr w:type="spellStart"/>
      <w:r w:rsidRPr="00E13406">
        <w:rPr>
          <w:sz w:val="24"/>
          <w:szCs w:val="24"/>
        </w:rPr>
        <w:t>AfC</w:t>
      </w:r>
      <w:proofErr w:type="spellEnd"/>
      <w:r w:rsidRPr="00E13406">
        <w:rPr>
          <w:sz w:val="24"/>
          <w:szCs w:val="24"/>
        </w:rPr>
        <w:t xml:space="preserve"> staff OR a 3.5% uplift.</w:t>
      </w:r>
    </w:p>
    <w:p w:rsidR="00AE587F" w:rsidRPr="00E13406" w:rsidRDefault="00AE587F" w:rsidP="00580832">
      <w:pPr>
        <w:spacing w:after="0"/>
        <w:ind w:left="-567" w:right="-613"/>
        <w:rPr>
          <w:sz w:val="24"/>
          <w:szCs w:val="24"/>
        </w:rPr>
      </w:pPr>
    </w:p>
    <w:p w:rsidR="00686B05" w:rsidRPr="00E13406" w:rsidRDefault="00686B05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The offer exceeds the percentage uplift SoR was ask</w:t>
      </w:r>
      <w:bookmarkStart w:id="0" w:name="_GoBack"/>
      <w:bookmarkEnd w:id="0"/>
      <w:r w:rsidRPr="00E13406">
        <w:rPr>
          <w:sz w:val="24"/>
          <w:szCs w:val="24"/>
        </w:rPr>
        <w:t>ing for, for Bands 1 to 7 – though obviously offers Bands 8A-8C less than this (2%).</w:t>
      </w:r>
    </w:p>
    <w:p w:rsidR="00AE587F" w:rsidRDefault="00AE587F" w:rsidP="00580832">
      <w:pPr>
        <w:spacing w:after="0"/>
        <w:ind w:left="-567" w:right="-613"/>
        <w:rPr>
          <w:sz w:val="24"/>
          <w:szCs w:val="24"/>
        </w:rPr>
      </w:pPr>
    </w:p>
    <w:p w:rsidR="00686B05" w:rsidRPr="00E13406" w:rsidRDefault="00686B05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Bands 8D to 9 are ‘caught’ by the Scottish Public Pay Sector Policy which means their uplift is capped at £800. </w:t>
      </w:r>
    </w:p>
    <w:p w:rsidR="00686B05" w:rsidRPr="00E13406" w:rsidRDefault="00686B05" w:rsidP="00580832">
      <w:pPr>
        <w:spacing w:after="0"/>
        <w:ind w:left="-567" w:right="-613"/>
        <w:rPr>
          <w:sz w:val="24"/>
          <w:szCs w:val="24"/>
        </w:rPr>
      </w:pPr>
    </w:p>
    <w:p w:rsidR="00EE0629" w:rsidRPr="00E13406" w:rsidRDefault="00EE0629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SoR Position on the Pay Offer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CE54E3" w:rsidRPr="00E13406" w:rsidRDefault="00CE54E3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 xml:space="preserve">For the avoidance of doubt, your Scottish Reps met </w:t>
      </w:r>
      <w:r w:rsidR="009D56B6" w:rsidRPr="00E13406">
        <w:rPr>
          <w:b/>
          <w:sz w:val="24"/>
          <w:szCs w:val="24"/>
        </w:rPr>
        <w:t>on the 31</w:t>
      </w:r>
      <w:r w:rsidR="009D56B6" w:rsidRPr="00E13406">
        <w:rPr>
          <w:b/>
          <w:sz w:val="24"/>
          <w:szCs w:val="24"/>
          <w:vertAlign w:val="superscript"/>
        </w:rPr>
        <w:t>st</w:t>
      </w:r>
      <w:r w:rsidR="009D56B6" w:rsidRPr="00E13406">
        <w:rPr>
          <w:b/>
          <w:sz w:val="24"/>
          <w:szCs w:val="24"/>
        </w:rPr>
        <w:t xml:space="preserve"> of March to consider the Offer. After full and frank discussion, they decided </w:t>
      </w:r>
      <w:r w:rsidR="009D56B6" w:rsidRPr="00E13406">
        <w:rPr>
          <w:b/>
          <w:sz w:val="24"/>
          <w:szCs w:val="24"/>
          <w:u w:val="single"/>
        </w:rPr>
        <w:t>to make no recommendation</w:t>
      </w:r>
      <w:r w:rsidR="009D56B6" w:rsidRPr="00E13406">
        <w:rPr>
          <w:b/>
          <w:sz w:val="24"/>
          <w:szCs w:val="24"/>
        </w:rPr>
        <w:t xml:space="preserve"> to you as to whether you should accept or reject the offer</w:t>
      </w:r>
      <w:r w:rsidRPr="00E13406">
        <w:rPr>
          <w:b/>
          <w:sz w:val="24"/>
          <w:szCs w:val="24"/>
        </w:rPr>
        <w:t>.</w:t>
      </w:r>
      <w:r w:rsidR="00046D36" w:rsidRPr="00E13406">
        <w:rPr>
          <w:b/>
          <w:sz w:val="24"/>
          <w:szCs w:val="24"/>
        </w:rPr>
        <w:t xml:space="preserve"> This </w:t>
      </w:r>
      <w:r w:rsidR="00311A44" w:rsidRPr="00E13406">
        <w:rPr>
          <w:b/>
          <w:sz w:val="24"/>
          <w:szCs w:val="24"/>
        </w:rPr>
        <w:t>position is endorsed by the S</w:t>
      </w:r>
      <w:r w:rsidR="00046D36" w:rsidRPr="00E13406">
        <w:rPr>
          <w:b/>
          <w:sz w:val="24"/>
          <w:szCs w:val="24"/>
        </w:rPr>
        <w:t xml:space="preserve">oR Scottish Council. 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9D56B6" w:rsidRPr="00E13406" w:rsidRDefault="009D56B6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In </w:t>
      </w:r>
      <w:r w:rsidR="00686B05" w:rsidRPr="00E13406">
        <w:rPr>
          <w:sz w:val="24"/>
          <w:szCs w:val="24"/>
        </w:rPr>
        <w:t>taking this decision</w:t>
      </w:r>
      <w:r w:rsidRPr="00E13406">
        <w:rPr>
          <w:sz w:val="24"/>
          <w:szCs w:val="24"/>
        </w:rPr>
        <w:t xml:space="preserve">, those who contributed to the debate recognised that the Offer represented an acceptable percentage uplift for those in Bands 1-7 – one </w:t>
      </w:r>
      <w:r w:rsidR="00311A44" w:rsidRPr="00E13406">
        <w:rPr>
          <w:sz w:val="24"/>
          <w:szCs w:val="24"/>
        </w:rPr>
        <w:t>that exceeded</w:t>
      </w:r>
      <w:r w:rsidRPr="00E13406">
        <w:rPr>
          <w:sz w:val="24"/>
          <w:szCs w:val="24"/>
        </w:rPr>
        <w:t xml:space="preserve"> </w:t>
      </w:r>
      <w:proofErr w:type="spellStart"/>
      <w:r w:rsidRPr="00E13406">
        <w:rPr>
          <w:sz w:val="24"/>
          <w:szCs w:val="24"/>
        </w:rPr>
        <w:t>SoR’s</w:t>
      </w:r>
      <w:proofErr w:type="spellEnd"/>
      <w:r w:rsidRPr="00E13406">
        <w:rPr>
          <w:sz w:val="24"/>
          <w:szCs w:val="24"/>
        </w:rPr>
        <w:t xml:space="preserve"> own UK-wide pay position. However they also felt that the offer to Bands 8 – 9 failed to recogn</w:t>
      </w:r>
      <w:r w:rsidR="00184073" w:rsidRPr="00E13406">
        <w:rPr>
          <w:sz w:val="24"/>
          <w:szCs w:val="24"/>
        </w:rPr>
        <w:t>ise</w:t>
      </w:r>
      <w:r w:rsidRPr="00E13406">
        <w:rPr>
          <w:sz w:val="24"/>
          <w:szCs w:val="24"/>
        </w:rPr>
        <w:t xml:space="preserve"> and appropriately value the work undertaken by colleagues in these pay bands</w:t>
      </w:r>
      <w:r w:rsidR="00686B05" w:rsidRPr="00E13406">
        <w:rPr>
          <w:sz w:val="24"/>
          <w:szCs w:val="24"/>
        </w:rPr>
        <w:t xml:space="preserve"> and were very clear that </w:t>
      </w:r>
      <w:r w:rsidRPr="00E13406">
        <w:rPr>
          <w:sz w:val="24"/>
          <w:szCs w:val="24"/>
        </w:rPr>
        <w:t>colleagues in these Bands deserved more than the 0.75% to 2% they were being offered.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073FA3" w:rsidRPr="00E13406" w:rsidRDefault="009D56B6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It is therefore for you, as a SoR member to decide whether or not to accept the Offer.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073FA3" w:rsidRDefault="00073FA3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Acceptance of the Offer would allow your National Officer to revert to STAC Staff Side to intimate a SoR mandate for acceptance.</w:t>
      </w:r>
    </w:p>
    <w:p w:rsidR="004B1E33" w:rsidRDefault="004B1E33" w:rsidP="00580832">
      <w:pPr>
        <w:spacing w:after="0"/>
        <w:ind w:left="-567" w:right="-613"/>
        <w:rPr>
          <w:sz w:val="24"/>
          <w:szCs w:val="24"/>
        </w:rPr>
      </w:pPr>
    </w:p>
    <w:p w:rsidR="00E13406" w:rsidRPr="004B1E33" w:rsidRDefault="00E13406" w:rsidP="004B1E33">
      <w:pPr>
        <w:rPr>
          <w:sz w:val="24"/>
          <w:szCs w:val="24"/>
        </w:rPr>
      </w:pPr>
    </w:p>
    <w:p w:rsidR="004E5A4F" w:rsidRDefault="00073FA3" w:rsidP="004E5A4F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Obviously, a majority vote to reject would require a willingness on the </w:t>
      </w:r>
      <w:r w:rsidR="005870AF" w:rsidRPr="00E13406">
        <w:rPr>
          <w:sz w:val="24"/>
          <w:szCs w:val="24"/>
        </w:rPr>
        <w:t xml:space="preserve">SoR </w:t>
      </w:r>
      <w:r w:rsidRPr="00E13406">
        <w:rPr>
          <w:sz w:val="24"/>
          <w:szCs w:val="24"/>
        </w:rPr>
        <w:t xml:space="preserve">membership’s part to take industrial action. </w:t>
      </w:r>
    </w:p>
    <w:p w:rsidR="004E5A4F" w:rsidRDefault="004E5A4F" w:rsidP="004E5A4F">
      <w:pPr>
        <w:spacing w:after="0"/>
        <w:ind w:left="-567" w:right="-613"/>
        <w:rPr>
          <w:sz w:val="24"/>
          <w:szCs w:val="24"/>
        </w:rPr>
      </w:pPr>
    </w:p>
    <w:p w:rsidR="00686B05" w:rsidRPr="004E5A4F" w:rsidRDefault="00686B05" w:rsidP="004E5A4F">
      <w:pPr>
        <w:spacing w:after="0"/>
        <w:ind w:left="-567" w:right="-613"/>
        <w:rPr>
          <w:sz w:val="24"/>
          <w:szCs w:val="24"/>
        </w:rPr>
      </w:pPr>
      <w:r w:rsidRPr="00E13406">
        <w:rPr>
          <w:b/>
          <w:sz w:val="24"/>
          <w:szCs w:val="24"/>
        </w:rPr>
        <w:t>SoR Consultation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686B05" w:rsidRPr="00E13406" w:rsidRDefault="00686B05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The SoR consultation will be open from the 16</w:t>
      </w:r>
      <w:r w:rsidRPr="00E13406">
        <w:rPr>
          <w:sz w:val="24"/>
          <w:szCs w:val="24"/>
          <w:vertAlign w:val="superscript"/>
        </w:rPr>
        <w:t>th</w:t>
      </w:r>
      <w:r w:rsidRPr="00E13406">
        <w:rPr>
          <w:sz w:val="24"/>
          <w:szCs w:val="24"/>
        </w:rPr>
        <w:t xml:space="preserve"> April to the 7</w:t>
      </w:r>
      <w:r w:rsidRPr="00E13406">
        <w:rPr>
          <w:sz w:val="24"/>
          <w:szCs w:val="24"/>
          <w:vertAlign w:val="superscript"/>
        </w:rPr>
        <w:t>th</w:t>
      </w:r>
      <w:r w:rsidRPr="00E13406">
        <w:rPr>
          <w:sz w:val="24"/>
          <w:szCs w:val="24"/>
        </w:rPr>
        <w:t xml:space="preserve"> May 2021. Members will receive a </w:t>
      </w:r>
      <w:r w:rsidRPr="00E13406">
        <w:rPr>
          <w:i/>
          <w:sz w:val="24"/>
          <w:szCs w:val="24"/>
        </w:rPr>
        <w:t>digital link</w:t>
      </w:r>
      <w:r w:rsidRPr="00E13406">
        <w:rPr>
          <w:sz w:val="24"/>
          <w:szCs w:val="24"/>
        </w:rPr>
        <w:t xml:space="preserve"> which will take them to a binary choice question: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686B05" w:rsidRPr="00E13406" w:rsidRDefault="00686B05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 xml:space="preserve">Do you wish to accept the Scottish Government’s </w:t>
      </w:r>
      <w:proofErr w:type="spellStart"/>
      <w:r w:rsidRPr="00E13406">
        <w:rPr>
          <w:b/>
          <w:sz w:val="24"/>
          <w:szCs w:val="24"/>
        </w:rPr>
        <w:t>AfC</w:t>
      </w:r>
      <w:proofErr w:type="spellEnd"/>
      <w:r w:rsidRPr="00E13406">
        <w:rPr>
          <w:b/>
          <w:sz w:val="24"/>
          <w:szCs w:val="24"/>
        </w:rPr>
        <w:t xml:space="preserve"> Pay Offer 21/</w:t>
      </w:r>
      <w:proofErr w:type="gramStart"/>
      <w:r w:rsidRPr="00E13406">
        <w:rPr>
          <w:b/>
          <w:sz w:val="24"/>
          <w:szCs w:val="24"/>
        </w:rPr>
        <w:t>22:</w:t>
      </w:r>
      <w:proofErr w:type="gramEnd"/>
      <w:r w:rsidRPr="00E13406">
        <w:rPr>
          <w:b/>
          <w:sz w:val="24"/>
          <w:szCs w:val="24"/>
        </w:rPr>
        <w:t xml:space="preserve"> 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686B05" w:rsidRDefault="00686B05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Yes or No.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686B05" w:rsidRPr="00E13406" w:rsidRDefault="00686B05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It is </w:t>
      </w:r>
      <w:r w:rsidRPr="00E13406">
        <w:rPr>
          <w:i/>
          <w:sz w:val="24"/>
          <w:szCs w:val="24"/>
        </w:rPr>
        <w:t xml:space="preserve">very </w:t>
      </w:r>
      <w:r w:rsidRPr="00E13406">
        <w:rPr>
          <w:sz w:val="24"/>
          <w:szCs w:val="24"/>
        </w:rPr>
        <w:t>important that Members ensure that all personal contact details on the SoR membership database are up to date.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782AD5" w:rsidRPr="00E13406" w:rsidRDefault="00782AD5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What am I being offered?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E13406" w:rsidRPr="00E13406" w:rsidRDefault="0011058A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The Offer is for a one year deal (1</w:t>
      </w:r>
      <w:r w:rsidRPr="00E13406">
        <w:rPr>
          <w:sz w:val="24"/>
          <w:szCs w:val="24"/>
          <w:vertAlign w:val="superscript"/>
        </w:rPr>
        <w:t>st</w:t>
      </w:r>
      <w:r w:rsidRPr="00E13406">
        <w:rPr>
          <w:sz w:val="24"/>
          <w:szCs w:val="24"/>
        </w:rPr>
        <w:t xml:space="preserve"> April 2021 – 31</w:t>
      </w:r>
      <w:r w:rsidRPr="00E13406">
        <w:rPr>
          <w:sz w:val="24"/>
          <w:szCs w:val="24"/>
          <w:vertAlign w:val="superscript"/>
        </w:rPr>
        <w:t>st</w:t>
      </w:r>
      <w:r w:rsidRPr="00E13406">
        <w:rPr>
          <w:sz w:val="24"/>
          <w:szCs w:val="24"/>
        </w:rPr>
        <w:t xml:space="preserve"> March 2022). However union negotiation secured backdating of this deal to the 1</w:t>
      </w:r>
      <w:r w:rsidRPr="00E13406">
        <w:rPr>
          <w:sz w:val="24"/>
          <w:szCs w:val="24"/>
          <w:vertAlign w:val="superscript"/>
        </w:rPr>
        <w:t>st</w:t>
      </w:r>
      <w:r w:rsidRPr="00E13406">
        <w:rPr>
          <w:sz w:val="24"/>
          <w:szCs w:val="24"/>
        </w:rPr>
        <w:t xml:space="preserve"> December 2020.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EE0629" w:rsidRPr="00E13406" w:rsidRDefault="0011058A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This means that – if accepted – you would receive the uplift for your Band, backdated to the 1</w:t>
      </w:r>
      <w:r w:rsidRPr="00E13406">
        <w:rPr>
          <w:sz w:val="24"/>
          <w:szCs w:val="24"/>
          <w:vertAlign w:val="superscript"/>
        </w:rPr>
        <w:t>st</w:t>
      </w:r>
      <w:r w:rsidRPr="00E13406">
        <w:rPr>
          <w:sz w:val="24"/>
          <w:szCs w:val="24"/>
        </w:rPr>
        <w:t xml:space="preserve"> December 2020.</w:t>
      </w:r>
      <w:r w:rsidR="003F4F5A" w:rsidRPr="00E13406">
        <w:rPr>
          <w:sz w:val="24"/>
          <w:szCs w:val="24"/>
        </w:rPr>
        <w:t xml:space="preserve">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11058A" w:rsidRPr="00E13406" w:rsidRDefault="003F4F5A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It is important to remember: you </w:t>
      </w:r>
      <w:r w:rsidR="00EB0A0F" w:rsidRPr="00E13406">
        <w:rPr>
          <w:sz w:val="24"/>
          <w:szCs w:val="24"/>
        </w:rPr>
        <w:t xml:space="preserve">have already </w:t>
      </w:r>
      <w:r w:rsidRPr="00E13406">
        <w:rPr>
          <w:sz w:val="24"/>
          <w:szCs w:val="24"/>
        </w:rPr>
        <w:t>received a 1% uplift ‘payment on account’</w:t>
      </w:r>
      <w:r w:rsidR="00EB0A0F" w:rsidRPr="00E13406">
        <w:rPr>
          <w:sz w:val="24"/>
          <w:szCs w:val="24"/>
        </w:rPr>
        <w:t xml:space="preserve">. This means that backdated payments for </w:t>
      </w:r>
      <w:r w:rsidR="00EE0629" w:rsidRPr="00E13406">
        <w:rPr>
          <w:sz w:val="24"/>
          <w:szCs w:val="24"/>
        </w:rPr>
        <w:t xml:space="preserve">the period from </w:t>
      </w:r>
      <w:r w:rsidR="00EB0A0F" w:rsidRPr="00E13406">
        <w:rPr>
          <w:sz w:val="24"/>
          <w:szCs w:val="24"/>
        </w:rPr>
        <w:t>1</w:t>
      </w:r>
      <w:r w:rsidR="00EB0A0F" w:rsidRPr="00E13406">
        <w:rPr>
          <w:sz w:val="24"/>
          <w:szCs w:val="24"/>
          <w:vertAlign w:val="superscript"/>
        </w:rPr>
        <w:t>st</w:t>
      </w:r>
      <w:r w:rsidR="00EB0A0F" w:rsidRPr="00E13406">
        <w:rPr>
          <w:sz w:val="24"/>
          <w:szCs w:val="24"/>
        </w:rPr>
        <w:t xml:space="preserve"> Dec 2020 to </w:t>
      </w:r>
      <w:r w:rsidR="00EE0629" w:rsidRPr="00E13406">
        <w:rPr>
          <w:sz w:val="24"/>
          <w:szCs w:val="24"/>
        </w:rPr>
        <w:t>possible implementation of the Offer</w:t>
      </w:r>
      <w:r w:rsidR="00EB0A0F" w:rsidRPr="00E13406">
        <w:rPr>
          <w:sz w:val="24"/>
          <w:szCs w:val="24"/>
        </w:rPr>
        <w:t xml:space="preserve"> will be for the % uplift that remains to be paid after accounting for the 1% already received.</w:t>
      </w:r>
      <w:r w:rsidRPr="00E13406">
        <w:rPr>
          <w:sz w:val="24"/>
          <w:szCs w:val="24"/>
        </w:rPr>
        <w:t xml:space="preserve">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11058A" w:rsidRDefault="0011058A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The Offer provides for the following: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DB2B51" w:rsidRPr="00E13406" w:rsidRDefault="0011058A" w:rsidP="00580832">
      <w:pPr>
        <w:pStyle w:val="ListParagraph"/>
        <w:numPr>
          <w:ilvl w:val="0"/>
          <w:numId w:val="1"/>
        </w:numPr>
        <w:spacing w:after="0"/>
        <w:ind w:left="-567" w:right="-613" w:firstLine="709"/>
        <w:rPr>
          <w:sz w:val="24"/>
          <w:szCs w:val="24"/>
        </w:rPr>
      </w:pPr>
      <w:r w:rsidRPr="00E13406">
        <w:rPr>
          <w:sz w:val="24"/>
          <w:szCs w:val="24"/>
        </w:rPr>
        <w:t xml:space="preserve">Bands 1-4: a flat uplift of £1,009 </w:t>
      </w:r>
    </w:p>
    <w:p w:rsidR="00DB2B51" w:rsidRPr="00E13406" w:rsidRDefault="0011058A" w:rsidP="00580832">
      <w:pPr>
        <w:pStyle w:val="ListParagraph"/>
        <w:numPr>
          <w:ilvl w:val="0"/>
          <w:numId w:val="1"/>
        </w:numPr>
        <w:spacing w:after="0"/>
        <w:ind w:left="-567" w:right="-613" w:firstLine="709"/>
        <w:rPr>
          <w:sz w:val="24"/>
          <w:szCs w:val="24"/>
        </w:rPr>
      </w:pPr>
      <w:r w:rsidRPr="00E13406">
        <w:rPr>
          <w:sz w:val="24"/>
          <w:szCs w:val="24"/>
        </w:rPr>
        <w:t xml:space="preserve">Bands 5-7: a 4% uplift </w:t>
      </w:r>
    </w:p>
    <w:p w:rsidR="00DB2B51" w:rsidRPr="00E13406" w:rsidRDefault="0011058A" w:rsidP="00580832">
      <w:pPr>
        <w:pStyle w:val="ListParagraph"/>
        <w:numPr>
          <w:ilvl w:val="0"/>
          <w:numId w:val="1"/>
        </w:numPr>
        <w:spacing w:after="0"/>
        <w:ind w:left="-567" w:right="-613" w:firstLine="709"/>
        <w:rPr>
          <w:sz w:val="24"/>
          <w:szCs w:val="24"/>
        </w:rPr>
      </w:pPr>
      <w:r w:rsidRPr="00E13406">
        <w:rPr>
          <w:sz w:val="24"/>
          <w:szCs w:val="24"/>
        </w:rPr>
        <w:t xml:space="preserve">Bands 8a to 8c: a 2% uplift </w:t>
      </w:r>
    </w:p>
    <w:p w:rsidR="00DB2B51" w:rsidRPr="00E13406" w:rsidRDefault="0011058A" w:rsidP="00580832">
      <w:pPr>
        <w:pStyle w:val="ListParagraph"/>
        <w:numPr>
          <w:ilvl w:val="0"/>
          <w:numId w:val="1"/>
        </w:numPr>
        <w:spacing w:after="0"/>
        <w:ind w:left="-567" w:right="-613" w:firstLine="709"/>
        <w:rPr>
          <w:sz w:val="24"/>
          <w:szCs w:val="24"/>
        </w:rPr>
      </w:pPr>
      <w:r w:rsidRPr="00E13406">
        <w:rPr>
          <w:sz w:val="24"/>
          <w:szCs w:val="24"/>
        </w:rPr>
        <w:t xml:space="preserve">Bands 8d to 9: a flat uplift of £800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11058A" w:rsidRPr="00E13406" w:rsidRDefault="00DB2B51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In addition, a</w:t>
      </w:r>
      <w:r w:rsidR="0011058A" w:rsidRPr="00E13406">
        <w:rPr>
          <w:sz w:val="24"/>
          <w:szCs w:val="24"/>
        </w:rPr>
        <w:t xml:space="preserve">ny supplements and RRP’s which increase in line with pay uplifts will be uprated as appropriate.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DB2B51" w:rsidRDefault="00DB2B51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These uplifts would translate into the following 2021-22 pay points</w:t>
      </w:r>
      <w:r w:rsidR="00BD09FE" w:rsidRPr="00E13406">
        <w:rPr>
          <w:b/>
          <w:sz w:val="24"/>
          <w:szCs w:val="24"/>
        </w:rPr>
        <w:t xml:space="preserve"> – which would be backdated to the 1</w:t>
      </w:r>
      <w:r w:rsidR="00BD09FE" w:rsidRPr="00E13406">
        <w:rPr>
          <w:b/>
          <w:sz w:val="24"/>
          <w:szCs w:val="24"/>
          <w:vertAlign w:val="superscript"/>
        </w:rPr>
        <w:t>st</w:t>
      </w:r>
      <w:r w:rsidR="00BD09FE" w:rsidRPr="00E13406">
        <w:rPr>
          <w:b/>
          <w:sz w:val="24"/>
          <w:szCs w:val="24"/>
        </w:rPr>
        <w:t xml:space="preserve"> December – under deduction of the 1% payment on account you have already received</w:t>
      </w:r>
      <w:r w:rsidRPr="00E13406">
        <w:rPr>
          <w:b/>
          <w:sz w:val="24"/>
          <w:szCs w:val="24"/>
        </w:rPr>
        <w:t xml:space="preserve">. </w:t>
      </w:r>
    </w:p>
    <w:p w:rsidR="00580832" w:rsidRPr="00E13406" w:rsidRDefault="00580832" w:rsidP="00580832">
      <w:pPr>
        <w:spacing w:after="0"/>
        <w:ind w:left="-567" w:right="-613"/>
        <w:rPr>
          <w:b/>
          <w:sz w:val="24"/>
          <w:szCs w:val="24"/>
        </w:rPr>
      </w:pPr>
    </w:p>
    <w:p w:rsidR="00580832" w:rsidRDefault="005808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09FE" w:rsidRPr="00E13406" w:rsidRDefault="00BD09FE" w:rsidP="00580832">
      <w:pPr>
        <w:spacing w:after="0"/>
        <w:ind w:left="-567" w:right="-613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80832" w:rsidRPr="00DB2B51" w:rsidTr="00671934">
        <w:tc>
          <w:tcPr>
            <w:tcW w:w="1502" w:type="dxa"/>
          </w:tcPr>
          <w:p w:rsidR="00580832" w:rsidRPr="00DB2B51" w:rsidRDefault="00580832" w:rsidP="00671934">
            <w:pPr>
              <w:rPr>
                <w:b/>
              </w:rPr>
            </w:pPr>
            <w:r w:rsidRPr="00DB2B51">
              <w:rPr>
                <w:b/>
              </w:rPr>
              <w:t>BAND</w:t>
            </w:r>
          </w:p>
        </w:tc>
        <w:tc>
          <w:tcPr>
            <w:tcW w:w="1502" w:type="dxa"/>
          </w:tcPr>
          <w:p w:rsidR="00580832" w:rsidRPr="00DB2B51" w:rsidRDefault="00580832" w:rsidP="00671934">
            <w:pPr>
              <w:rPr>
                <w:b/>
              </w:rPr>
            </w:pPr>
            <w:r w:rsidRPr="00DB2B51">
              <w:rPr>
                <w:b/>
              </w:rPr>
              <w:t>POINT</w:t>
            </w:r>
          </w:p>
        </w:tc>
        <w:tc>
          <w:tcPr>
            <w:tcW w:w="1503" w:type="dxa"/>
          </w:tcPr>
          <w:p w:rsidR="00580832" w:rsidRPr="00DB2B51" w:rsidRDefault="00580832" w:rsidP="00671934">
            <w:pPr>
              <w:rPr>
                <w:b/>
              </w:rPr>
            </w:pPr>
            <w:r w:rsidRPr="00DB2B51">
              <w:rPr>
                <w:b/>
              </w:rPr>
              <w:t>20/21 RATES</w:t>
            </w:r>
          </w:p>
        </w:tc>
        <w:tc>
          <w:tcPr>
            <w:tcW w:w="1503" w:type="dxa"/>
          </w:tcPr>
          <w:p w:rsidR="00580832" w:rsidRPr="00DB2B51" w:rsidRDefault="00580832" w:rsidP="00671934">
            <w:pPr>
              <w:rPr>
                <w:b/>
              </w:rPr>
            </w:pPr>
            <w:r w:rsidRPr="00DB2B51">
              <w:rPr>
                <w:b/>
              </w:rPr>
              <w:t>21/22 RATES</w:t>
            </w:r>
          </w:p>
        </w:tc>
        <w:tc>
          <w:tcPr>
            <w:tcW w:w="1503" w:type="dxa"/>
          </w:tcPr>
          <w:p w:rsidR="00580832" w:rsidRPr="00DB2B51" w:rsidRDefault="00580832" w:rsidP="00671934">
            <w:pPr>
              <w:rPr>
                <w:b/>
              </w:rPr>
            </w:pPr>
            <w:r w:rsidRPr="00DB2B51">
              <w:rPr>
                <w:b/>
              </w:rPr>
              <w:t>% UPLIFT</w:t>
            </w:r>
          </w:p>
        </w:tc>
        <w:tc>
          <w:tcPr>
            <w:tcW w:w="1503" w:type="dxa"/>
          </w:tcPr>
          <w:p w:rsidR="00580832" w:rsidRPr="00DB2B51" w:rsidRDefault="00580832" w:rsidP="00671934">
            <w:pPr>
              <w:rPr>
                <w:b/>
              </w:rPr>
            </w:pPr>
            <w:r w:rsidRPr="00DB2B51">
              <w:rPr>
                <w:b/>
              </w:rPr>
              <w:t>£ THIS REPRESENTS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1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£18,478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£19,487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>
              <w:rPr>
                <w:b/>
              </w:rPr>
              <w:t>5.</w:t>
            </w:r>
            <w:r w:rsidRPr="003F4F5A">
              <w:rPr>
                <w:b/>
              </w:rPr>
              <w:t>46%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2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 xml:space="preserve">£18,600 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>
              <w:rPr>
                <w:b/>
              </w:rPr>
              <w:t>£19609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5.42%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£20606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£21615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4.9%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3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£20700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£21709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4.87%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£22594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£23603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4.47%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4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£22700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£23709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4.44%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£24973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£25982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4.04%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5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£25100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£26104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£1004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£26970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£28049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£1079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3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£31649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£32915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£1266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 xml:space="preserve">Band 6 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£31800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£33072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£1272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£33305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£34637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£1332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3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£39169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£40736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£1567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7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£39300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£40872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£1572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£40894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£42530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£1636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3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£46006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£47846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4%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£1840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8A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£49480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£50470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2%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£990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£53414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£54482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2%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£1068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8B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£59539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£60730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2%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£1191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£64095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£65377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2%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£1282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8C</w:t>
            </w:r>
          </w:p>
        </w:tc>
        <w:tc>
          <w:tcPr>
            <w:tcW w:w="1502" w:type="dxa"/>
          </w:tcPr>
          <w:p w:rsidR="00580832" w:rsidRDefault="00580832" w:rsidP="00671934">
            <w:r>
              <w:t xml:space="preserve">1 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£71365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£72792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2%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£1427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£76914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£78452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2%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£1538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8D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£85811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£86611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0.93%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£800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£89732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£90532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0.89%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£800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>
            <w:r>
              <w:t>Band 9</w:t>
            </w:r>
          </w:p>
        </w:tc>
        <w:tc>
          <w:tcPr>
            <w:tcW w:w="1502" w:type="dxa"/>
          </w:tcPr>
          <w:p w:rsidR="00580832" w:rsidRDefault="00580832" w:rsidP="00671934">
            <w:r>
              <w:t>1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£102558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£103358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0.78%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£800</w:t>
            </w:r>
          </w:p>
        </w:tc>
      </w:tr>
      <w:tr w:rsidR="00580832" w:rsidTr="00671934">
        <w:tc>
          <w:tcPr>
            <w:tcW w:w="1502" w:type="dxa"/>
          </w:tcPr>
          <w:p w:rsidR="00580832" w:rsidRDefault="00580832" w:rsidP="00671934"/>
        </w:tc>
        <w:tc>
          <w:tcPr>
            <w:tcW w:w="1502" w:type="dxa"/>
          </w:tcPr>
          <w:p w:rsidR="00580832" w:rsidRDefault="00580832" w:rsidP="00671934">
            <w:r>
              <w:t>2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£107250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£108050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0.75%</w:t>
            </w:r>
          </w:p>
        </w:tc>
        <w:tc>
          <w:tcPr>
            <w:tcW w:w="1503" w:type="dxa"/>
          </w:tcPr>
          <w:p w:rsidR="00580832" w:rsidRPr="003F4F5A" w:rsidRDefault="00580832" w:rsidP="00671934">
            <w:pPr>
              <w:rPr>
                <w:b/>
              </w:rPr>
            </w:pPr>
            <w:r w:rsidRPr="003F4F5A">
              <w:rPr>
                <w:b/>
              </w:rPr>
              <w:t>£800</w:t>
            </w:r>
          </w:p>
        </w:tc>
      </w:tr>
    </w:tbl>
    <w:p w:rsidR="00580832" w:rsidRDefault="00580832" w:rsidP="00580832"/>
    <w:p w:rsidR="00EE0629" w:rsidRPr="00E13406" w:rsidRDefault="00EE0629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 xml:space="preserve">Barnett </w:t>
      </w:r>
      <w:proofErr w:type="spellStart"/>
      <w:r w:rsidRPr="00E13406">
        <w:rPr>
          <w:b/>
          <w:sz w:val="24"/>
          <w:szCs w:val="24"/>
        </w:rPr>
        <w:t>Consequentials</w:t>
      </w:r>
      <w:proofErr w:type="spellEnd"/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6A71F9" w:rsidRPr="00E13406" w:rsidRDefault="00BD09FE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There is one additional element to the Offer – one that your union negotiators insisted upon and which </w:t>
      </w:r>
      <w:r w:rsidRPr="00E13406">
        <w:rPr>
          <w:i/>
          <w:sz w:val="24"/>
          <w:szCs w:val="24"/>
        </w:rPr>
        <w:t xml:space="preserve">may </w:t>
      </w:r>
      <w:r w:rsidRPr="00E13406">
        <w:rPr>
          <w:sz w:val="24"/>
          <w:szCs w:val="24"/>
        </w:rPr>
        <w:t xml:space="preserve">result in additional monies flowing to you. </w:t>
      </w:r>
    </w:p>
    <w:p w:rsidR="00AE587F" w:rsidRDefault="00AE587F" w:rsidP="00580832">
      <w:pPr>
        <w:spacing w:after="0"/>
        <w:ind w:left="-567" w:right="-613"/>
        <w:rPr>
          <w:sz w:val="24"/>
          <w:szCs w:val="24"/>
        </w:rPr>
      </w:pPr>
    </w:p>
    <w:p w:rsidR="003F4F5A" w:rsidRPr="00E13406" w:rsidRDefault="00BD09FE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The Offer provides for the following: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BD09FE" w:rsidRDefault="00BD09FE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 xml:space="preserve">The Scottish Government will revisit the agreed pay settlement following the outcome of the Pay Review Body’s recommendation on Agenda for Change pay in England for 2021/22, with an intention of allocating NHS Scotland Agenda for Change Pay any additional new Barnett </w:t>
      </w:r>
      <w:proofErr w:type="spellStart"/>
      <w:r w:rsidRPr="00E13406">
        <w:rPr>
          <w:b/>
          <w:sz w:val="24"/>
          <w:szCs w:val="24"/>
        </w:rPr>
        <w:t>consequentials</w:t>
      </w:r>
      <w:proofErr w:type="spellEnd"/>
      <w:r w:rsidRPr="00E13406">
        <w:rPr>
          <w:b/>
          <w:sz w:val="24"/>
          <w:szCs w:val="24"/>
        </w:rPr>
        <w:t xml:space="preserve"> that result from a funded increase for the Agenda for Change pay uplift in England in the Department for Health and Social Care’s budget beyond the UK Government’s proposals.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0074CE" w:rsidRPr="00E13406" w:rsidRDefault="000074CE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The Scottish Government intend to fund the offer from their own budget. They advised that they have not assumed receipt of any </w:t>
      </w:r>
      <w:r w:rsidR="006A71F9" w:rsidRPr="00E13406">
        <w:rPr>
          <w:sz w:val="24"/>
          <w:szCs w:val="24"/>
        </w:rPr>
        <w:t xml:space="preserve">additional </w:t>
      </w:r>
      <w:proofErr w:type="spellStart"/>
      <w:r w:rsidRPr="00E13406">
        <w:rPr>
          <w:sz w:val="24"/>
          <w:szCs w:val="24"/>
        </w:rPr>
        <w:t>consequentials</w:t>
      </w:r>
      <w:proofErr w:type="spellEnd"/>
      <w:r w:rsidRPr="00E13406">
        <w:rPr>
          <w:sz w:val="24"/>
          <w:szCs w:val="24"/>
        </w:rPr>
        <w:t xml:space="preserve"> to fund their Offer. Your negotiators wanted to ensure that there was discussion regarding disbursement of any </w:t>
      </w:r>
      <w:r w:rsidRPr="00E13406">
        <w:rPr>
          <w:i/>
          <w:sz w:val="24"/>
          <w:szCs w:val="24"/>
        </w:rPr>
        <w:t>new</w:t>
      </w:r>
      <w:r w:rsidRPr="00E13406">
        <w:rPr>
          <w:sz w:val="24"/>
          <w:szCs w:val="24"/>
        </w:rPr>
        <w:t xml:space="preserve"> </w:t>
      </w:r>
      <w:proofErr w:type="spellStart"/>
      <w:r w:rsidRPr="00E13406">
        <w:rPr>
          <w:sz w:val="24"/>
          <w:szCs w:val="24"/>
        </w:rPr>
        <w:t>consequentials</w:t>
      </w:r>
      <w:proofErr w:type="spellEnd"/>
      <w:r w:rsidRPr="00E13406">
        <w:rPr>
          <w:sz w:val="24"/>
          <w:szCs w:val="24"/>
        </w:rPr>
        <w:t xml:space="preserve"> that result from a funded increase to </w:t>
      </w:r>
      <w:proofErr w:type="spellStart"/>
      <w:r w:rsidRPr="00E13406">
        <w:rPr>
          <w:sz w:val="24"/>
          <w:szCs w:val="24"/>
        </w:rPr>
        <w:t>AfC</w:t>
      </w:r>
      <w:proofErr w:type="spellEnd"/>
      <w:r w:rsidRPr="00E13406">
        <w:rPr>
          <w:sz w:val="24"/>
          <w:szCs w:val="24"/>
        </w:rPr>
        <w:t xml:space="preserve"> pay in England.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6A71F9" w:rsidRPr="00E13406" w:rsidRDefault="006A71F9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This clause means that there is the </w:t>
      </w:r>
      <w:r w:rsidRPr="00E13406">
        <w:rPr>
          <w:i/>
          <w:sz w:val="24"/>
          <w:szCs w:val="24"/>
        </w:rPr>
        <w:t>possibility</w:t>
      </w:r>
      <w:r w:rsidRPr="00E13406">
        <w:rPr>
          <w:sz w:val="24"/>
          <w:szCs w:val="24"/>
        </w:rPr>
        <w:t xml:space="preserve"> that any additional monies that flow to Scotland as a result of ‘a funded increase for the </w:t>
      </w:r>
      <w:proofErr w:type="spellStart"/>
      <w:r w:rsidRPr="00E13406">
        <w:rPr>
          <w:sz w:val="24"/>
          <w:szCs w:val="24"/>
        </w:rPr>
        <w:t>AfC</w:t>
      </w:r>
      <w:proofErr w:type="spellEnd"/>
      <w:r w:rsidRPr="00E13406">
        <w:rPr>
          <w:sz w:val="24"/>
          <w:szCs w:val="24"/>
        </w:rPr>
        <w:t xml:space="preserve"> pay uplift in England’ will be redirected into </w:t>
      </w:r>
      <w:proofErr w:type="spellStart"/>
      <w:r w:rsidRPr="00E13406">
        <w:rPr>
          <w:sz w:val="24"/>
          <w:szCs w:val="24"/>
        </w:rPr>
        <w:t>AfC</w:t>
      </w:r>
      <w:proofErr w:type="spellEnd"/>
      <w:r w:rsidRPr="00E13406">
        <w:rPr>
          <w:sz w:val="24"/>
          <w:szCs w:val="24"/>
        </w:rPr>
        <w:t xml:space="preserve"> pay in Scotland. 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0074CE" w:rsidRPr="00E13406" w:rsidRDefault="002A2FBA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We need to be clear:</w:t>
      </w:r>
      <w:r w:rsidR="006A71F9" w:rsidRPr="00E13406">
        <w:rPr>
          <w:sz w:val="24"/>
          <w:szCs w:val="24"/>
        </w:rPr>
        <w:t xml:space="preserve"> t</w:t>
      </w:r>
      <w:r w:rsidR="000074CE" w:rsidRPr="00E13406">
        <w:rPr>
          <w:sz w:val="24"/>
          <w:szCs w:val="24"/>
        </w:rPr>
        <w:t xml:space="preserve">here is no guarantee that a) there will be any additional ‘Barnett’ money </w:t>
      </w:r>
      <w:r w:rsidR="006A71F9" w:rsidRPr="00E13406">
        <w:rPr>
          <w:sz w:val="24"/>
          <w:szCs w:val="24"/>
        </w:rPr>
        <w:t xml:space="preserve">or that b) </w:t>
      </w:r>
      <w:proofErr w:type="gramStart"/>
      <w:r w:rsidR="006A71F9" w:rsidRPr="00E13406">
        <w:rPr>
          <w:sz w:val="24"/>
          <w:szCs w:val="24"/>
        </w:rPr>
        <w:t>discussions</w:t>
      </w:r>
      <w:proofErr w:type="gramEnd"/>
      <w:r w:rsidR="006A71F9" w:rsidRPr="00E13406">
        <w:rPr>
          <w:sz w:val="24"/>
          <w:szCs w:val="24"/>
        </w:rPr>
        <w:t xml:space="preserve"> would result in further uplifts to </w:t>
      </w:r>
      <w:proofErr w:type="spellStart"/>
      <w:r w:rsidR="006A71F9" w:rsidRPr="00E13406">
        <w:rPr>
          <w:sz w:val="24"/>
          <w:szCs w:val="24"/>
        </w:rPr>
        <w:t>AfC</w:t>
      </w:r>
      <w:proofErr w:type="spellEnd"/>
      <w:r w:rsidR="006A71F9" w:rsidRPr="00E13406">
        <w:rPr>
          <w:sz w:val="24"/>
          <w:szCs w:val="24"/>
        </w:rPr>
        <w:t xml:space="preserve"> pay in Scotland – but this clause does </w:t>
      </w:r>
      <w:r w:rsidR="000858BB" w:rsidRPr="00E13406">
        <w:rPr>
          <w:sz w:val="24"/>
          <w:szCs w:val="24"/>
        </w:rPr>
        <w:t xml:space="preserve">provide </w:t>
      </w:r>
      <w:r w:rsidR="006A71F9" w:rsidRPr="00E13406">
        <w:rPr>
          <w:sz w:val="24"/>
          <w:szCs w:val="24"/>
        </w:rPr>
        <w:t>the opportunity for that to happen.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2058FE" w:rsidRPr="00E13406" w:rsidRDefault="00C11663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What does it mean for me?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0858BB" w:rsidRPr="00E13406" w:rsidRDefault="000858BB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If agreed and implemented, this deal means </w:t>
      </w:r>
      <w:r w:rsidR="00DC05C7" w:rsidRPr="00E13406">
        <w:rPr>
          <w:sz w:val="24"/>
          <w:szCs w:val="24"/>
        </w:rPr>
        <w:t>a minimum flat rate uplift of £1009/year for those on Bands 1-4 and a minimum 4% uplift for those on Bands 5-7.</w:t>
      </w:r>
    </w:p>
    <w:p w:rsidR="00E13406" w:rsidRPr="00E13406" w:rsidRDefault="00E13406" w:rsidP="00580832">
      <w:pPr>
        <w:spacing w:after="0"/>
        <w:ind w:left="-567" w:right="-613"/>
        <w:rPr>
          <w:sz w:val="24"/>
          <w:szCs w:val="24"/>
        </w:rPr>
      </w:pPr>
    </w:p>
    <w:p w:rsidR="00DC05C7" w:rsidRPr="00E13406" w:rsidRDefault="00DC05C7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Those on Bands 8A through to 8C would receive a 2% uplift, with those on Bands 8D and 9 receiving an £800/annum rise.</w:t>
      </w:r>
    </w:p>
    <w:p w:rsidR="00DC05C7" w:rsidRDefault="00DC05C7" w:rsidP="00580832">
      <w:pPr>
        <w:spacing w:after="0"/>
        <w:ind w:left="-567" w:right="-613"/>
        <w:rPr>
          <w:sz w:val="24"/>
          <w:szCs w:val="24"/>
        </w:rPr>
      </w:pPr>
      <w:r w:rsidRPr="00E13406">
        <w:rPr>
          <w:sz w:val="24"/>
          <w:szCs w:val="24"/>
        </w:rPr>
        <w:t>All supplements and RRPs will be uprated in line with the appropriate uplift</w:t>
      </w:r>
      <w:r w:rsidR="00632556" w:rsidRPr="00E13406">
        <w:rPr>
          <w:sz w:val="24"/>
          <w:szCs w:val="24"/>
        </w:rPr>
        <w:t xml:space="preserve"> (</w:t>
      </w:r>
      <w:r w:rsidR="00632556" w:rsidRPr="00E13406">
        <w:rPr>
          <w:i/>
          <w:sz w:val="24"/>
          <w:szCs w:val="24"/>
        </w:rPr>
        <w:t xml:space="preserve">though we are looking at making this a flat rate 4% - seeking clarification from the </w:t>
      </w:r>
      <w:proofErr w:type="spellStart"/>
      <w:r w:rsidR="00632556" w:rsidRPr="00E13406">
        <w:rPr>
          <w:i/>
          <w:sz w:val="24"/>
          <w:szCs w:val="24"/>
        </w:rPr>
        <w:t>Gov</w:t>
      </w:r>
      <w:proofErr w:type="spellEnd"/>
      <w:r w:rsidR="00632556" w:rsidRPr="00E13406">
        <w:rPr>
          <w:i/>
          <w:sz w:val="24"/>
          <w:szCs w:val="24"/>
        </w:rPr>
        <w:t>)</w:t>
      </w:r>
      <w:r w:rsidRPr="00E13406">
        <w:rPr>
          <w:sz w:val="24"/>
          <w:szCs w:val="24"/>
        </w:rPr>
        <w:t>.</w:t>
      </w:r>
    </w:p>
    <w:p w:rsidR="00580832" w:rsidRPr="00E13406" w:rsidRDefault="00580832" w:rsidP="00580832">
      <w:pPr>
        <w:spacing w:after="0"/>
        <w:ind w:left="-567" w:right="-613"/>
        <w:rPr>
          <w:sz w:val="24"/>
          <w:szCs w:val="24"/>
        </w:rPr>
      </w:pPr>
    </w:p>
    <w:p w:rsidR="00DC05C7" w:rsidRPr="00E13406" w:rsidRDefault="00DC05C7" w:rsidP="00580832">
      <w:pPr>
        <w:pStyle w:val="ListParagraph"/>
        <w:numPr>
          <w:ilvl w:val="0"/>
          <w:numId w:val="2"/>
        </w:numPr>
        <w:spacing w:after="0"/>
        <w:ind w:left="0" w:right="-613" w:hanging="567"/>
        <w:rPr>
          <w:sz w:val="24"/>
          <w:szCs w:val="24"/>
        </w:rPr>
      </w:pPr>
      <w:r w:rsidRPr="00E13406">
        <w:rPr>
          <w:sz w:val="24"/>
          <w:szCs w:val="24"/>
        </w:rPr>
        <w:lastRenderedPageBreak/>
        <w:t>For those currently on</w:t>
      </w:r>
      <w:r w:rsidR="00D45E94" w:rsidRPr="00E13406">
        <w:rPr>
          <w:sz w:val="24"/>
          <w:szCs w:val="24"/>
        </w:rPr>
        <w:t xml:space="preserve"> </w:t>
      </w:r>
      <w:r w:rsidR="00D45E94" w:rsidRPr="00E13406">
        <w:rPr>
          <w:b/>
          <w:sz w:val="24"/>
          <w:szCs w:val="24"/>
        </w:rPr>
        <w:t>organisational change</w:t>
      </w:r>
      <w:r w:rsidRPr="00E13406">
        <w:rPr>
          <w:b/>
          <w:sz w:val="24"/>
          <w:szCs w:val="24"/>
        </w:rPr>
        <w:t xml:space="preserve"> pay protection</w:t>
      </w:r>
      <w:r w:rsidR="00D45E94" w:rsidRPr="00E13406">
        <w:rPr>
          <w:sz w:val="24"/>
          <w:szCs w:val="24"/>
        </w:rPr>
        <w:t>, their protected earnings level should increase by the appropriate pay uplift percentage for their place on the scale.</w:t>
      </w:r>
    </w:p>
    <w:p w:rsidR="002A2FBA" w:rsidRPr="00E13406" w:rsidRDefault="002A2FBA" w:rsidP="00580832">
      <w:pPr>
        <w:pStyle w:val="ListParagraph"/>
        <w:spacing w:after="0"/>
        <w:ind w:left="0" w:right="-613"/>
        <w:rPr>
          <w:sz w:val="24"/>
          <w:szCs w:val="24"/>
        </w:rPr>
      </w:pPr>
      <w:r w:rsidRPr="00E13406">
        <w:rPr>
          <w:sz w:val="24"/>
          <w:szCs w:val="24"/>
        </w:rPr>
        <w:t xml:space="preserve">However, the situation for those with ‘Mark time’ pay protection differs – in that the rise will not apply to the ‘mark time element’, only to the underlying substantive wage. </w:t>
      </w:r>
    </w:p>
    <w:p w:rsidR="002A2FBA" w:rsidRPr="00E13406" w:rsidRDefault="002A2FBA" w:rsidP="00580832">
      <w:pPr>
        <w:pStyle w:val="ListParagraph"/>
        <w:spacing w:after="0"/>
        <w:ind w:left="0" w:right="-613" w:hanging="567"/>
        <w:rPr>
          <w:sz w:val="24"/>
          <w:szCs w:val="24"/>
        </w:rPr>
      </w:pPr>
    </w:p>
    <w:p w:rsidR="00CE54E3" w:rsidRPr="00E13406" w:rsidRDefault="002A2FBA" w:rsidP="00580832">
      <w:pPr>
        <w:pStyle w:val="ListParagraph"/>
        <w:numPr>
          <w:ilvl w:val="0"/>
          <w:numId w:val="2"/>
        </w:numPr>
        <w:spacing w:after="0"/>
        <w:ind w:left="0" w:right="-613" w:hanging="567"/>
        <w:rPr>
          <w:sz w:val="24"/>
          <w:szCs w:val="24"/>
        </w:rPr>
      </w:pPr>
      <w:r w:rsidRPr="00E13406">
        <w:rPr>
          <w:sz w:val="24"/>
          <w:szCs w:val="24"/>
        </w:rPr>
        <w:t xml:space="preserve">The last deal provided for </w:t>
      </w:r>
      <w:r w:rsidR="00632556" w:rsidRPr="00E13406">
        <w:rPr>
          <w:sz w:val="24"/>
          <w:szCs w:val="24"/>
        </w:rPr>
        <w:t xml:space="preserve">quicker progression through the pay points with </w:t>
      </w:r>
      <w:r w:rsidRPr="00E13406">
        <w:rPr>
          <w:sz w:val="24"/>
          <w:szCs w:val="24"/>
        </w:rPr>
        <w:t>the removal of certain spinal points attached to the individual Bands. STAC Staff Side are currently clarifying with the SG whether the points will be removed on the 1</w:t>
      </w:r>
      <w:r w:rsidRPr="00E13406">
        <w:rPr>
          <w:sz w:val="24"/>
          <w:szCs w:val="24"/>
          <w:vertAlign w:val="superscript"/>
        </w:rPr>
        <w:t>st</w:t>
      </w:r>
      <w:r w:rsidRPr="00E13406">
        <w:rPr>
          <w:sz w:val="24"/>
          <w:szCs w:val="24"/>
        </w:rPr>
        <w:t xml:space="preserve"> April 2021 (as agreed at the time of the last deal) OR whether the backdating of this Offer to the 1</w:t>
      </w:r>
      <w:r w:rsidRPr="00E13406">
        <w:rPr>
          <w:sz w:val="24"/>
          <w:szCs w:val="24"/>
          <w:vertAlign w:val="superscript"/>
        </w:rPr>
        <w:t>st</w:t>
      </w:r>
      <w:r w:rsidRPr="00E13406">
        <w:rPr>
          <w:sz w:val="24"/>
          <w:szCs w:val="24"/>
        </w:rPr>
        <w:t xml:space="preserve"> December 2020 will impact on that. We will let you know as soon as possible.</w:t>
      </w:r>
    </w:p>
    <w:p w:rsidR="00E13406" w:rsidRPr="00E13406" w:rsidRDefault="00E13406" w:rsidP="004E5A4F">
      <w:pPr>
        <w:spacing w:after="0"/>
        <w:ind w:right="-613"/>
        <w:rPr>
          <w:sz w:val="24"/>
          <w:szCs w:val="24"/>
        </w:rPr>
      </w:pPr>
    </w:p>
    <w:p w:rsidR="002058FE" w:rsidRPr="00E13406" w:rsidRDefault="002058FE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Next Steps: What happens next?</w:t>
      </w: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2058FE" w:rsidRPr="00E13406" w:rsidRDefault="002058FE" w:rsidP="00580832">
      <w:pPr>
        <w:pStyle w:val="ListParagraph"/>
        <w:numPr>
          <w:ilvl w:val="0"/>
          <w:numId w:val="3"/>
        </w:numPr>
        <w:spacing w:after="0"/>
        <w:ind w:left="0" w:right="-613" w:hanging="567"/>
        <w:rPr>
          <w:b/>
          <w:sz w:val="24"/>
          <w:szCs w:val="24"/>
        </w:rPr>
      </w:pPr>
      <w:r w:rsidRPr="00E13406">
        <w:rPr>
          <w:sz w:val="24"/>
          <w:szCs w:val="24"/>
        </w:rPr>
        <w:t xml:space="preserve">SoR will begin to send out </w:t>
      </w:r>
      <w:r w:rsidR="00AE587F">
        <w:rPr>
          <w:sz w:val="24"/>
          <w:szCs w:val="24"/>
        </w:rPr>
        <w:t>consultation</w:t>
      </w:r>
      <w:r w:rsidRPr="00E13406">
        <w:rPr>
          <w:sz w:val="24"/>
          <w:szCs w:val="24"/>
        </w:rPr>
        <w:t xml:space="preserve"> links to members</w:t>
      </w:r>
      <w:r w:rsidR="00686B05" w:rsidRPr="00E13406">
        <w:rPr>
          <w:sz w:val="24"/>
          <w:szCs w:val="24"/>
        </w:rPr>
        <w:t xml:space="preserve"> from the 16</w:t>
      </w:r>
      <w:r w:rsidR="00686B05" w:rsidRPr="00E13406">
        <w:rPr>
          <w:sz w:val="24"/>
          <w:szCs w:val="24"/>
          <w:vertAlign w:val="superscript"/>
        </w:rPr>
        <w:t>th</w:t>
      </w:r>
      <w:r w:rsidR="00686B05" w:rsidRPr="00E13406">
        <w:rPr>
          <w:sz w:val="24"/>
          <w:szCs w:val="24"/>
        </w:rPr>
        <w:t xml:space="preserve"> of April</w:t>
      </w:r>
      <w:r w:rsidRPr="00E13406">
        <w:rPr>
          <w:sz w:val="24"/>
          <w:szCs w:val="24"/>
        </w:rPr>
        <w:t xml:space="preserve"> 2021. It is therefore very important that you ensure that your personal contact details are up to date. If you have not received a link by the 19</w:t>
      </w:r>
      <w:r w:rsidRPr="00E13406">
        <w:rPr>
          <w:sz w:val="24"/>
          <w:szCs w:val="24"/>
          <w:vertAlign w:val="superscript"/>
        </w:rPr>
        <w:t>th</w:t>
      </w:r>
      <w:r w:rsidR="00AE587F">
        <w:rPr>
          <w:sz w:val="24"/>
          <w:szCs w:val="24"/>
        </w:rPr>
        <w:t xml:space="preserve"> April, you should the Industrial Relation department (tuir@sor.org)</w:t>
      </w:r>
      <w:r w:rsidRPr="00E13406">
        <w:rPr>
          <w:sz w:val="24"/>
          <w:szCs w:val="24"/>
        </w:rPr>
        <w:t>.</w:t>
      </w:r>
    </w:p>
    <w:p w:rsidR="002058FE" w:rsidRPr="00E13406" w:rsidRDefault="002058FE" w:rsidP="00580832">
      <w:pPr>
        <w:pStyle w:val="ListParagraph"/>
        <w:numPr>
          <w:ilvl w:val="0"/>
          <w:numId w:val="3"/>
        </w:numPr>
        <w:spacing w:after="0"/>
        <w:ind w:left="0" w:right="-613" w:hanging="567"/>
        <w:rPr>
          <w:b/>
          <w:sz w:val="24"/>
          <w:szCs w:val="24"/>
        </w:rPr>
      </w:pPr>
      <w:r w:rsidRPr="00E13406">
        <w:rPr>
          <w:sz w:val="24"/>
          <w:szCs w:val="24"/>
        </w:rPr>
        <w:t>On</w:t>
      </w:r>
      <w:r w:rsidR="00821767" w:rsidRPr="00E13406">
        <w:rPr>
          <w:sz w:val="24"/>
          <w:szCs w:val="24"/>
        </w:rPr>
        <w:t xml:space="preserve">ce you have the link to </w:t>
      </w:r>
      <w:proofErr w:type="spellStart"/>
      <w:r w:rsidR="00821767" w:rsidRPr="00E13406">
        <w:rPr>
          <w:sz w:val="24"/>
          <w:szCs w:val="24"/>
        </w:rPr>
        <w:t>SoR’s</w:t>
      </w:r>
      <w:proofErr w:type="spellEnd"/>
      <w:r w:rsidRPr="00E13406">
        <w:rPr>
          <w:sz w:val="24"/>
          <w:szCs w:val="24"/>
        </w:rPr>
        <w:t xml:space="preserve"> </w:t>
      </w:r>
      <w:r w:rsidR="00AE587F">
        <w:rPr>
          <w:sz w:val="24"/>
          <w:szCs w:val="24"/>
        </w:rPr>
        <w:t>consultation</w:t>
      </w:r>
      <w:r w:rsidRPr="00E13406">
        <w:rPr>
          <w:sz w:val="24"/>
          <w:szCs w:val="24"/>
        </w:rPr>
        <w:t xml:space="preserve">, you should follow the instructions and place your </w:t>
      </w:r>
      <w:r w:rsidR="00AE587F">
        <w:rPr>
          <w:sz w:val="24"/>
          <w:szCs w:val="24"/>
        </w:rPr>
        <w:t>response</w:t>
      </w:r>
      <w:r w:rsidRPr="00E13406">
        <w:rPr>
          <w:sz w:val="24"/>
          <w:szCs w:val="24"/>
        </w:rPr>
        <w:t>.</w:t>
      </w:r>
    </w:p>
    <w:p w:rsidR="00073FA3" w:rsidRPr="004E5A4F" w:rsidRDefault="00073FA3" w:rsidP="00580832">
      <w:pPr>
        <w:pStyle w:val="ListParagraph"/>
        <w:numPr>
          <w:ilvl w:val="0"/>
          <w:numId w:val="3"/>
        </w:numPr>
        <w:spacing w:after="0"/>
        <w:ind w:left="0" w:right="-613" w:hanging="567"/>
        <w:rPr>
          <w:b/>
          <w:sz w:val="24"/>
          <w:szCs w:val="24"/>
        </w:rPr>
      </w:pPr>
      <w:r w:rsidRPr="00E13406">
        <w:rPr>
          <w:sz w:val="24"/>
          <w:szCs w:val="24"/>
        </w:rPr>
        <w:t xml:space="preserve">The </w:t>
      </w:r>
      <w:r w:rsidR="00AE587F">
        <w:rPr>
          <w:sz w:val="24"/>
          <w:szCs w:val="24"/>
        </w:rPr>
        <w:t>consultation</w:t>
      </w:r>
      <w:r w:rsidRPr="00E13406">
        <w:rPr>
          <w:sz w:val="24"/>
          <w:szCs w:val="24"/>
        </w:rPr>
        <w:t xml:space="preserve"> result will be released</w:t>
      </w:r>
      <w:r w:rsidR="00EE0629" w:rsidRPr="00E13406">
        <w:rPr>
          <w:sz w:val="24"/>
          <w:szCs w:val="24"/>
        </w:rPr>
        <w:t xml:space="preserve"> to members as soon as possible following the close of the </w:t>
      </w:r>
      <w:r w:rsidR="00AE587F">
        <w:rPr>
          <w:sz w:val="24"/>
          <w:szCs w:val="24"/>
        </w:rPr>
        <w:t>survey</w:t>
      </w:r>
      <w:r w:rsidR="00EE0629" w:rsidRPr="00E13406">
        <w:rPr>
          <w:sz w:val="24"/>
          <w:szCs w:val="24"/>
        </w:rPr>
        <w:t>.</w:t>
      </w:r>
    </w:p>
    <w:p w:rsidR="004E5A4F" w:rsidRDefault="004E5A4F" w:rsidP="004E5A4F">
      <w:pPr>
        <w:spacing w:after="0"/>
        <w:ind w:right="-613"/>
        <w:rPr>
          <w:b/>
          <w:sz w:val="24"/>
          <w:szCs w:val="24"/>
        </w:rPr>
      </w:pPr>
    </w:p>
    <w:p w:rsidR="004E5A4F" w:rsidRPr="004E5A4F" w:rsidRDefault="004E5A4F" w:rsidP="004E5A4F">
      <w:pPr>
        <w:spacing w:after="0"/>
        <w:ind w:right="-613"/>
        <w:rPr>
          <w:b/>
          <w:sz w:val="24"/>
          <w:szCs w:val="24"/>
        </w:rPr>
      </w:pPr>
    </w:p>
    <w:p w:rsidR="00E13406" w:rsidRPr="00E13406" w:rsidRDefault="00E13406" w:rsidP="00580832">
      <w:pPr>
        <w:spacing w:after="0"/>
        <w:ind w:left="-567" w:right="-613"/>
        <w:rPr>
          <w:b/>
          <w:sz w:val="24"/>
          <w:szCs w:val="24"/>
        </w:rPr>
      </w:pPr>
    </w:p>
    <w:p w:rsidR="00EE0629" w:rsidRDefault="00EE0629" w:rsidP="00580832">
      <w:pPr>
        <w:spacing w:after="0"/>
        <w:ind w:left="-567" w:right="-613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>Thereafter:</w:t>
      </w:r>
    </w:p>
    <w:p w:rsidR="00580832" w:rsidRPr="00E13406" w:rsidRDefault="00580832" w:rsidP="00580832">
      <w:pPr>
        <w:spacing w:after="0"/>
        <w:ind w:left="-567" w:right="-613"/>
        <w:rPr>
          <w:b/>
          <w:sz w:val="24"/>
          <w:szCs w:val="24"/>
        </w:rPr>
      </w:pPr>
    </w:p>
    <w:p w:rsidR="00EE0629" w:rsidRPr="00E13406" w:rsidRDefault="00EE0629" w:rsidP="00580832">
      <w:pPr>
        <w:pStyle w:val="ListParagraph"/>
        <w:numPr>
          <w:ilvl w:val="0"/>
          <w:numId w:val="4"/>
        </w:numPr>
        <w:spacing w:after="0"/>
        <w:ind w:left="0" w:right="-613" w:hanging="567"/>
        <w:rPr>
          <w:b/>
          <w:sz w:val="24"/>
          <w:szCs w:val="24"/>
        </w:rPr>
      </w:pPr>
      <w:r w:rsidRPr="00E13406">
        <w:rPr>
          <w:sz w:val="24"/>
          <w:szCs w:val="24"/>
        </w:rPr>
        <w:t xml:space="preserve">Should the </w:t>
      </w:r>
      <w:r w:rsidR="00AE587F">
        <w:rPr>
          <w:sz w:val="24"/>
          <w:szCs w:val="24"/>
        </w:rPr>
        <w:t>response</w:t>
      </w:r>
      <w:r w:rsidRPr="00E13406">
        <w:rPr>
          <w:sz w:val="24"/>
          <w:szCs w:val="24"/>
        </w:rPr>
        <w:t xml:space="preserve"> be to accept the Offer your National Officer will attend the STAC Staff Side meeting which is planned for the 12</w:t>
      </w:r>
      <w:r w:rsidRPr="00E13406">
        <w:rPr>
          <w:sz w:val="24"/>
          <w:szCs w:val="24"/>
          <w:vertAlign w:val="superscript"/>
        </w:rPr>
        <w:t>th</w:t>
      </w:r>
      <w:r w:rsidRPr="00E13406">
        <w:rPr>
          <w:sz w:val="24"/>
          <w:szCs w:val="24"/>
        </w:rPr>
        <w:t xml:space="preserve"> of May and will intimate </w:t>
      </w:r>
      <w:proofErr w:type="spellStart"/>
      <w:r w:rsidRPr="00E13406">
        <w:rPr>
          <w:sz w:val="24"/>
          <w:szCs w:val="24"/>
        </w:rPr>
        <w:t>SoR’s</w:t>
      </w:r>
      <w:proofErr w:type="spellEnd"/>
      <w:r w:rsidRPr="00E13406">
        <w:rPr>
          <w:sz w:val="24"/>
          <w:szCs w:val="24"/>
        </w:rPr>
        <w:t xml:space="preserve"> mandate to accept.</w:t>
      </w:r>
    </w:p>
    <w:p w:rsidR="00EE0629" w:rsidRPr="00E13406" w:rsidRDefault="00EE0629" w:rsidP="00580832">
      <w:pPr>
        <w:pStyle w:val="ListParagraph"/>
        <w:numPr>
          <w:ilvl w:val="0"/>
          <w:numId w:val="4"/>
        </w:numPr>
        <w:spacing w:after="0"/>
        <w:ind w:left="0" w:right="-613" w:hanging="567"/>
        <w:rPr>
          <w:b/>
          <w:sz w:val="24"/>
          <w:szCs w:val="24"/>
        </w:rPr>
      </w:pPr>
      <w:r w:rsidRPr="00E13406">
        <w:rPr>
          <w:sz w:val="24"/>
          <w:szCs w:val="24"/>
        </w:rPr>
        <w:t xml:space="preserve">Should the </w:t>
      </w:r>
      <w:r w:rsidR="00AE587F">
        <w:rPr>
          <w:sz w:val="24"/>
          <w:szCs w:val="24"/>
        </w:rPr>
        <w:t>response</w:t>
      </w:r>
      <w:r w:rsidRPr="00E13406">
        <w:rPr>
          <w:sz w:val="24"/>
          <w:szCs w:val="24"/>
        </w:rPr>
        <w:t xml:space="preserve"> be to reject the Offer, this will be intimated to Staff Side and further meetings will take place internally to consider options – up to and including the possibility of an industrial action ballot.</w:t>
      </w:r>
    </w:p>
    <w:p w:rsidR="00807C0C" w:rsidRPr="00E13406" w:rsidRDefault="00807C0C" w:rsidP="00580832">
      <w:pPr>
        <w:spacing w:after="0"/>
        <w:ind w:right="-613" w:hanging="567"/>
        <w:rPr>
          <w:b/>
          <w:sz w:val="24"/>
          <w:szCs w:val="24"/>
        </w:rPr>
      </w:pPr>
    </w:p>
    <w:p w:rsidR="00807C0C" w:rsidRPr="00E13406" w:rsidRDefault="00807C0C" w:rsidP="00580832">
      <w:pPr>
        <w:spacing w:after="0"/>
        <w:ind w:right="-613" w:hanging="567"/>
        <w:rPr>
          <w:b/>
          <w:sz w:val="24"/>
          <w:szCs w:val="24"/>
        </w:rPr>
      </w:pPr>
      <w:r w:rsidRPr="00E13406">
        <w:rPr>
          <w:b/>
          <w:sz w:val="24"/>
          <w:szCs w:val="24"/>
        </w:rPr>
        <w:t xml:space="preserve">Please note: you can contact your local Rep or your National Officer (Yvonne Stewart – </w:t>
      </w:r>
      <w:hyperlink r:id="rId8" w:history="1">
        <w:r w:rsidRPr="00E13406">
          <w:rPr>
            <w:rStyle w:val="Hyperlink"/>
            <w:b/>
            <w:sz w:val="24"/>
            <w:szCs w:val="24"/>
          </w:rPr>
          <w:t>yvonnes@sor.org</w:t>
        </w:r>
      </w:hyperlink>
      <w:r w:rsidRPr="00E13406">
        <w:rPr>
          <w:b/>
          <w:sz w:val="24"/>
          <w:szCs w:val="24"/>
        </w:rPr>
        <w:t>) should you require any further information regarding any of the above.</w:t>
      </w:r>
    </w:p>
    <w:sectPr w:rsidR="00807C0C" w:rsidRPr="00E13406" w:rsidSect="004E5A4F">
      <w:headerReference w:type="default" r:id="rId9"/>
      <w:footerReference w:type="default" r:id="rId10"/>
      <w:pgSz w:w="11906" w:h="16838"/>
      <w:pgMar w:top="22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CF" w:rsidRDefault="007A35CF" w:rsidP="004E3DF9">
      <w:pPr>
        <w:spacing w:after="0" w:line="240" w:lineRule="auto"/>
      </w:pPr>
      <w:r>
        <w:separator/>
      </w:r>
    </w:p>
  </w:endnote>
  <w:endnote w:type="continuationSeparator" w:id="0">
    <w:p w:rsidR="007A35CF" w:rsidRDefault="007A35CF" w:rsidP="004E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7F" w:rsidRDefault="00AE587F" w:rsidP="004B1E33">
    <w:pPr>
      <w:pStyle w:val="Footer"/>
      <w:ind w:left="-567"/>
    </w:pPr>
    <w:r>
      <w:t>NHS Scotland Pay 21/22: The Pay Offer</w:t>
    </w:r>
    <w:r>
      <w:tab/>
      <w:t xml:space="preserve">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B1E33">
      <w:rPr>
        <w:noProof/>
      </w:rPr>
      <w:t>5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CF" w:rsidRDefault="007A35CF" w:rsidP="004E3DF9">
      <w:pPr>
        <w:spacing w:after="0" w:line="240" w:lineRule="auto"/>
      </w:pPr>
      <w:r>
        <w:separator/>
      </w:r>
    </w:p>
  </w:footnote>
  <w:footnote w:type="continuationSeparator" w:id="0">
    <w:p w:rsidR="007A35CF" w:rsidRDefault="007A35CF" w:rsidP="004E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4F" w:rsidRDefault="004E5A4F" w:rsidP="004E5A4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FF9ABB">
          <wp:extent cx="1536065" cy="865505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B27"/>
    <w:multiLevelType w:val="hybridMultilevel"/>
    <w:tmpl w:val="7A9A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2D65"/>
    <w:multiLevelType w:val="hybridMultilevel"/>
    <w:tmpl w:val="7CD8C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09CB"/>
    <w:multiLevelType w:val="hybridMultilevel"/>
    <w:tmpl w:val="0D90B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F08DF"/>
    <w:multiLevelType w:val="hybridMultilevel"/>
    <w:tmpl w:val="0382D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8A"/>
    <w:rsid w:val="000074CE"/>
    <w:rsid w:val="00045744"/>
    <w:rsid w:val="00046D36"/>
    <w:rsid w:val="00073FA3"/>
    <w:rsid w:val="000858BB"/>
    <w:rsid w:val="0011058A"/>
    <w:rsid w:val="00112FD9"/>
    <w:rsid w:val="00184073"/>
    <w:rsid w:val="001B3871"/>
    <w:rsid w:val="002058FE"/>
    <w:rsid w:val="00227434"/>
    <w:rsid w:val="002A2FBA"/>
    <w:rsid w:val="00311A44"/>
    <w:rsid w:val="003F4F5A"/>
    <w:rsid w:val="004B1E33"/>
    <w:rsid w:val="004E3DF9"/>
    <w:rsid w:val="004E5A4F"/>
    <w:rsid w:val="004F1076"/>
    <w:rsid w:val="00552833"/>
    <w:rsid w:val="00580832"/>
    <w:rsid w:val="005870AF"/>
    <w:rsid w:val="00632556"/>
    <w:rsid w:val="00686B05"/>
    <w:rsid w:val="006A0D41"/>
    <w:rsid w:val="006A255B"/>
    <w:rsid w:val="006A71F9"/>
    <w:rsid w:val="00782AD5"/>
    <w:rsid w:val="007A35CF"/>
    <w:rsid w:val="00807C0C"/>
    <w:rsid w:val="00821767"/>
    <w:rsid w:val="008E49C4"/>
    <w:rsid w:val="009D56B6"/>
    <w:rsid w:val="009F2826"/>
    <w:rsid w:val="00AE587F"/>
    <w:rsid w:val="00BD09FE"/>
    <w:rsid w:val="00C11663"/>
    <w:rsid w:val="00C64D89"/>
    <w:rsid w:val="00CE54E3"/>
    <w:rsid w:val="00D45E94"/>
    <w:rsid w:val="00DB2B51"/>
    <w:rsid w:val="00DC05C7"/>
    <w:rsid w:val="00E13406"/>
    <w:rsid w:val="00EB0A0F"/>
    <w:rsid w:val="00EE0629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B4B475"/>
  <w15:chartTrackingRefBased/>
  <w15:docId w15:val="{606D7B0B-F332-41B1-8E76-EC02A6A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51"/>
    <w:pPr>
      <w:ind w:left="720"/>
      <w:contextualSpacing/>
    </w:pPr>
  </w:style>
  <w:style w:type="table" w:styleId="TableGrid">
    <w:name w:val="Table Grid"/>
    <w:basedOn w:val="TableNormal"/>
    <w:uiPriority w:val="39"/>
    <w:rsid w:val="00DB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F9"/>
  </w:style>
  <w:style w:type="paragraph" w:styleId="Footer">
    <w:name w:val="footer"/>
    <w:basedOn w:val="Normal"/>
    <w:link w:val="FooterChar"/>
    <w:uiPriority w:val="99"/>
    <w:unhideWhenUsed/>
    <w:rsid w:val="004E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F9"/>
  </w:style>
  <w:style w:type="character" w:styleId="Hyperlink">
    <w:name w:val="Hyperlink"/>
    <w:basedOn w:val="DefaultParagraphFont"/>
    <w:uiPriority w:val="99"/>
    <w:unhideWhenUsed/>
    <w:rsid w:val="00807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s@s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9E57-74D8-4655-B663-8328BF9C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YvonneStewart</dc:creator>
  <cp:keywords/>
  <dc:description/>
  <cp:lastModifiedBy>Eugene Statnikov</cp:lastModifiedBy>
  <cp:revision>3</cp:revision>
  <dcterms:created xsi:type="dcterms:W3CDTF">2021-04-15T10:38:00Z</dcterms:created>
  <dcterms:modified xsi:type="dcterms:W3CDTF">2021-04-15T10:38:00Z</dcterms:modified>
</cp:coreProperties>
</file>